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58691" w14:textId="2E959A9A" w:rsidR="00B139DB" w:rsidRPr="00B139DB" w:rsidRDefault="00B139DB" w:rsidP="00B139DB">
      <w:pPr>
        <w:pStyle w:val="1"/>
        <w:rPr>
          <w:b/>
          <w:bCs/>
        </w:rPr>
      </w:pPr>
      <w:bookmarkStart w:id="0" w:name="bookmark4"/>
      <w:bookmarkStart w:id="1" w:name="bookmark5"/>
      <w:bookmarkStart w:id="2" w:name="bookmark6"/>
      <w:bookmarkStart w:id="3" w:name="bookmark3"/>
      <w:r w:rsidRPr="00B139DB">
        <w:rPr>
          <w:b/>
          <w:bCs/>
        </w:rPr>
        <w:t>01. Знакомство с Чемпионатом</w:t>
      </w:r>
    </w:p>
    <w:p w14:paraId="4310F8F3" w14:textId="0F65DDAA" w:rsidR="00B139DB" w:rsidRPr="00B139DB" w:rsidRDefault="00B139DB" w:rsidP="00B139DB">
      <w:pPr>
        <w:pStyle w:val="20"/>
        <w:keepNext/>
        <w:keepLines/>
        <w:spacing w:before="260"/>
        <w:jc w:val="left"/>
        <w:rPr>
          <w:rFonts w:ascii="PT Astra Sans" w:hAnsi="PT Astra Sans"/>
        </w:rPr>
      </w:pPr>
      <w:r w:rsidRPr="00B139DB">
        <w:rPr>
          <w:rFonts w:ascii="PT Astra Sans" w:hAnsi="PT Astra Sans"/>
          <w:color w:val="000000"/>
        </w:rPr>
        <w:t>Примерный перечень тем, освещаемых в рамках Чемпионата</w:t>
      </w:r>
      <w:bookmarkEnd w:id="0"/>
      <w:bookmarkEnd w:id="1"/>
      <w:bookmarkEnd w:id="2"/>
      <w:bookmarkEnd w:id="3"/>
    </w:p>
    <w:p w14:paraId="7D2B5DE9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line="353" w:lineRule="auto"/>
        <w:jc w:val="both"/>
        <w:rPr>
          <w:rFonts w:ascii="PT Astra Sans" w:hAnsi="PT Astra Sans"/>
        </w:rPr>
      </w:pPr>
      <w:bookmarkStart w:id="4" w:name="bookmark7"/>
      <w:bookmarkEnd w:id="4"/>
      <w:r w:rsidRPr="00B139DB">
        <w:rPr>
          <w:rFonts w:ascii="PT Astra Sans" w:hAnsi="PT Astra Sans"/>
          <w:color w:val="000000"/>
        </w:rPr>
        <w:t>Основы рационального финансового поведения</w:t>
      </w:r>
    </w:p>
    <w:p w14:paraId="03BEB978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line="353" w:lineRule="auto"/>
        <w:jc w:val="both"/>
        <w:rPr>
          <w:rFonts w:ascii="PT Astra Sans" w:hAnsi="PT Astra Sans"/>
        </w:rPr>
      </w:pPr>
      <w:bookmarkStart w:id="5" w:name="bookmark8"/>
      <w:bookmarkEnd w:id="5"/>
      <w:r w:rsidRPr="00B139DB">
        <w:rPr>
          <w:rFonts w:ascii="PT Astra Sans" w:hAnsi="PT Astra Sans"/>
          <w:color w:val="000000"/>
        </w:rPr>
        <w:t>Источники личных финансов</w:t>
      </w:r>
    </w:p>
    <w:p w14:paraId="46DDF3F4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line="353" w:lineRule="auto"/>
        <w:jc w:val="both"/>
        <w:rPr>
          <w:rFonts w:ascii="PT Astra Sans" w:hAnsi="PT Astra Sans"/>
        </w:rPr>
      </w:pPr>
      <w:bookmarkStart w:id="6" w:name="bookmark9"/>
      <w:bookmarkEnd w:id="6"/>
      <w:r w:rsidRPr="00B139DB">
        <w:rPr>
          <w:rFonts w:ascii="PT Astra Sans" w:hAnsi="PT Astra Sans"/>
          <w:color w:val="000000"/>
        </w:rPr>
        <w:t>Планирование личных финансов. Семейный бюджет</w:t>
      </w:r>
    </w:p>
    <w:p w14:paraId="4BE4BCCB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ind w:left="680" w:hanging="280"/>
        <w:jc w:val="both"/>
        <w:rPr>
          <w:rFonts w:ascii="PT Astra Sans" w:hAnsi="PT Astra Sans"/>
        </w:rPr>
      </w:pPr>
      <w:bookmarkStart w:id="7" w:name="bookmark10"/>
      <w:bookmarkEnd w:id="7"/>
      <w:r w:rsidRPr="00B139DB">
        <w:rPr>
          <w:rFonts w:ascii="PT Astra Sans" w:hAnsi="PT Astra Sans"/>
          <w:color w:val="000000"/>
        </w:rPr>
        <w:t>Личные и семейные доходы и расходы. Активы и пассивы человека и его семьи.</w:t>
      </w:r>
    </w:p>
    <w:p w14:paraId="212B99D4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after="40"/>
        <w:ind w:left="680" w:hanging="280"/>
        <w:jc w:val="both"/>
        <w:rPr>
          <w:rFonts w:ascii="PT Astra Sans" w:hAnsi="PT Astra Sans"/>
        </w:rPr>
      </w:pPr>
      <w:bookmarkStart w:id="8" w:name="bookmark11"/>
      <w:bookmarkEnd w:id="8"/>
      <w:r w:rsidRPr="00B139DB">
        <w:rPr>
          <w:rFonts w:ascii="PT Astra Sans" w:hAnsi="PT Astra Sans"/>
          <w:color w:val="000000"/>
        </w:rPr>
        <w:t>Успешное сбережение и накопление. Бережное потребление и накопление. Сберегательное и инвестиционное поведение.</w:t>
      </w:r>
    </w:p>
    <w:p w14:paraId="20B92AF1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line="353" w:lineRule="auto"/>
        <w:jc w:val="both"/>
        <w:rPr>
          <w:rFonts w:ascii="PT Astra Sans" w:hAnsi="PT Astra Sans"/>
        </w:rPr>
      </w:pPr>
      <w:bookmarkStart w:id="9" w:name="bookmark12"/>
      <w:bookmarkEnd w:id="9"/>
      <w:r w:rsidRPr="00B139DB">
        <w:rPr>
          <w:rFonts w:ascii="PT Astra Sans" w:hAnsi="PT Astra Sans"/>
          <w:color w:val="000000"/>
        </w:rPr>
        <w:t>Понятие и виды инвестиций. Навыки личных инвестиций</w:t>
      </w:r>
    </w:p>
    <w:p w14:paraId="7AB1199E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ind w:left="680" w:hanging="280"/>
        <w:jc w:val="both"/>
        <w:rPr>
          <w:rFonts w:ascii="PT Astra Sans" w:hAnsi="PT Astra Sans"/>
        </w:rPr>
      </w:pPr>
      <w:bookmarkStart w:id="10" w:name="bookmark13"/>
      <w:bookmarkEnd w:id="10"/>
      <w:r w:rsidRPr="00B139DB">
        <w:rPr>
          <w:rFonts w:ascii="PT Astra Sans" w:hAnsi="PT Astra Sans"/>
          <w:color w:val="000000"/>
        </w:rPr>
        <w:t>Выбор активов. Доход разных активов. Управление рисками при инвестировании</w:t>
      </w:r>
    </w:p>
    <w:p w14:paraId="7730B9D5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after="40"/>
        <w:ind w:left="680" w:hanging="280"/>
        <w:jc w:val="both"/>
        <w:rPr>
          <w:rFonts w:ascii="PT Astra Sans" w:hAnsi="PT Astra Sans"/>
        </w:rPr>
      </w:pPr>
      <w:bookmarkStart w:id="11" w:name="bookmark14"/>
      <w:bookmarkEnd w:id="11"/>
      <w:r w:rsidRPr="00B139DB">
        <w:rPr>
          <w:rFonts w:ascii="PT Astra Sans" w:hAnsi="PT Astra Sans"/>
          <w:color w:val="000000"/>
        </w:rPr>
        <w:t>Понятие разных сегментов финансового рынка (кредитного, страхового, валютного, рынка ценных бумаг, драгоценных металлов и камней). Регулирование финансового рынка</w:t>
      </w:r>
    </w:p>
    <w:p w14:paraId="23560EE6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line="353" w:lineRule="auto"/>
        <w:jc w:val="both"/>
        <w:rPr>
          <w:rFonts w:ascii="PT Astra Sans" w:hAnsi="PT Astra Sans"/>
        </w:rPr>
      </w:pPr>
      <w:bookmarkStart w:id="12" w:name="bookmark15"/>
      <w:bookmarkEnd w:id="12"/>
      <w:r w:rsidRPr="00B139DB">
        <w:rPr>
          <w:rFonts w:ascii="PT Astra Sans" w:hAnsi="PT Astra Sans"/>
          <w:color w:val="000000"/>
        </w:rPr>
        <w:t>Финансовые посредники. Выбор финансовых посредников</w:t>
      </w:r>
    </w:p>
    <w:p w14:paraId="37866466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after="40"/>
        <w:ind w:left="680" w:hanging="280"/>
        <w:jc w:val="both"/>
        <w:rPr>
          <w:rFonts w:ascii="PT Astra Sans" w:hAnsi="PT Astra Sans"/>
        </w:rPr>
      </w:pPr>
      <w:bookmarkStart w:id="13" w:name="bookmark16"/>
      <w:bookmarkEnd w:id="13"/>
      <w:r w:rsidRPr="00B139DB">
        <w:rPr>
          <w:rFonts w:ascii="PT Astra Sans" w:hAnsi="PT Astra Sans"/>
          <w:color w:val="000000"/>
        </w:rPr>
        <w:t>Инвестирование в ценные бумаги, недвижимость, иностранные валюты и прочие активы</w:t>
      </w:r>
    </w:p>
    <w:p w14:paraId="39C66489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line="353" w:lineRule="auto"/>
        <w:jc w:val="both"/>
        <w:rPr>
          <w:rFonts w:ascii="PT Astra Sans" w:hAnsi="PT Astra Sans"/>
        </w:rPr>
      </w:pPr>
      <w:bookmarkStart w:id="14" w:name="bookmark17"/>
      <w:bookmarkEnd w:id="14"/>
      <w:r w:rsidRPr="00B139DB">
        <w:rPr>
          <w:rFonts w:ascii="PT Astra Sans" w:hAnsi="PT Astra Sans"/>
          <w:color w:val="000000"/>
        </w:rPr>
        <w:t>Формы предпринимательской деятельности пенсионеров</w:t>
      </w:r>
    </w:p>
    <w:p w14:paraId="0B0BC08D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line="353" w:lineRule="auto"/>
        <w:jc w:val="both"/>
        <w:rPr>
          <w:rFonts w:ascii="PT Astra Sans" w:hAnsi="PT Astra Sans"/>
        </w:rPr>
      </w:pPr>
      <w:bookmarkStart w:id="15" w:name="bookmark18"/>
      <w:bookmarkEnd w:id="15"/>
      <w:r w:rsidRPr="00B139DB">
        <w:rPr>
          <w:rFonts w:ascii="PT Astra Sans" w:hAnsi="PT Astra Sans"/>
          <w:color w:val="000000"/>
        </w:rPr>
        <w:t>Банковские и иные финансовые продукты для населения</w:t>
      </w:r>
    </w:p>
    <w:p w14:paraId="5CE6A076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line="353" w:lineRule="auto"/>
        <w:jc w:val="both"/>
        <w:rPr>
          <w:rFonts w:ascii="PT Astra Sans" w:hAnsi="PT Astra Sans"/>
        </w:rPr>
      </w:pPr>
      <w:bookmarkStart w:id="16" w:name="bookmark19"/>
      <w:bookmarkEnd w:id="16"/>
      <w:r w:rsidRPr="00B139DB">
        <w:rPr>
          <w:rFonts w:ascii="PT Astra Sans" w:hAnsi="PT Astra Sans"/>
          <w:color w:val="000000"/>
        </w:rPr>
        <w:t>Формы дистанционного банковского обслуживания</w:t>
      </w:r>
    </w:p>
    <w:p w14:paraId="16A6B466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jc w:val="both"/>
        <w:rPr>
          <w:rFonts w:ascii="PT Astra Sans" w:hAnsi="PT Astra Sans"/>
        </w:rPr>
      </w:pPr>
      <w:bookmarkStart w:id="17" w:name="bookmark20"/>
      <w:bookmarkEnd w:id="17"/>
      <w:r w:rsidRPr="00B139DB">
        <w:rPr>
          <w:rFonts w:ascii="PT Astra Sans" w:hAnsi="PT Astra Sans"/>
          <w:color w:val="000000"/>
        </w:rPr>
        <w:t>Расчетно-кассовые, платежные и валютообменные операции</w:t>
      </w:r>
    </w:p>
    <w:p w14:paraId="14636541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ind w:left="680" w:hanging="280"/>
        <w:jc w:val="both"/>
        <w:rPr>
          <w:rFonts w:ascii="PT Astra Sans" w:hAnsi="PT Astra Sans"/>
        </w:rPr>
      </w:pPr>
      <w:bookmarkStart w:id="18" w:name="bookmark21"/>
      <w:bookmarkEnd w:id="18"/>
      <w:r w:rsidRPr="00B139DB">
        <w:rPr>
          <w:rFonts w:ascii="PT Astra Sans" w:hAnsi="PT Astra Sans"/>
          <w:color w:val="000000"/>
        </w:rPr>
        <w:t>Цифровые активы и цифровые инструменты для граждан. Цифровая среда для финансовых операций и действий</w:t>
      </w:r>
    </w:p>
    <w:p w14:paraId="44302AEE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after="40"/>
        <w:ind w:left="680" w:hanging="280"/>
        <w:jc w:val="both"/>
        <w:rPr>
          <w:rFonts w:ascii="PT Astra Sans" w:hAnsi="PT Astra Sans"/>
        </w:rPr>
      </w:pPr>
      <w:bookmarkStart w:id="19" w:name="bookmark22"/>
      <w:bookmarkEnd w:id="19"/>
      <w:r w:rsidRPr="00B139DB">
        <w:rPr>
          <w:rFonts w:ascii="PT Astra Sans" w:hAnsi="PT Astra Sans"/>
          <w:color w:val="000000"/>
        </w:rPr>
        <w:t>Различные виды розничного кредитования (потребительское, ипотечное и пр.). Кредиты и займы</w:t>
      </w:r>
    </w:p>
    <w:p w14:paraId="06EBCEC5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line="353" w:lineRule="auto"/>
        <w:jc w:val="both"/>
        <w:rPr>
          <w:rFonts w:ascii="PT Astra Sans" w:hAnsi="PT Astra Sans"/>
        </w:rPr>
      </w:pPr>
      <w:bookmarkStart w:id="20" w:name="bookmark23"/>
      <w:bookmarkEnd w:id="20"/>
      <w:r w:rsidRPr="00B139DB">
        <w:rPr>
          <w:rFonts w:ascii="PT Astra Sans" w:hAnsi="PT Astra Sans"/>
          <w:color w:val="000000"/>
        </w:rPr>
        <w:t>Личное, имущественное и кибер-страхование</w:t>
      </w:r>
    </w:p>
    <w:p w14:paraId="1F681B08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jc w:val="both"/>
        <w:rPr>
          <w:rFonts w:ascii="PT Astra Sans" w:hAnsi="PT Astra Sans"/>
        </w:rPr>
      </w:pPr>
      <w:bookmarkStart w:id="21" w:name="bookmark24"/>
      <w:bookmarkEnd w:id="21"/>
      <w:r w:rsidRPr="00B139DB">
        <w:rPr>
          <w:rFonts w:ascii="PT Astra Sans" w:hAnsi="PT Astra Sans"/>
          <w:color w:val="000000"/>
        </w:rPr>
        <w:t>Финансовые взаимоотношения пенсионеров с государством</w:t>
      </w:r>
    </w:p>
    <w:p w14:paraId="77E1D5F9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ind w:left="680" w:hanging="280"/>
        <w:jc w:val="both"/>
        <w:rPr>
          <w:rFonts w:ascii="PT Astra Sans" w:hAnsi="PT Astra Sans"/>
        </w:rPr>
      </w:pPr>
      <w:bookmarkStart w:id="22" w:name="bookmark25"/>
      <w:bookmarkEnd w:id="22"/>
      <w:r w:rsidRPr="00B139DB">
        <w:rPr>
          <w:rFonts w:ascii="PT Astra Sans" w:hAnsi="PT Astra Sans"/>
          <w:color w:val="000000"/>
        </w:rPr>
        <w:t>Государственное регулирование в области социальной защиты пенсионеров и членов их семей</w:t>
      </w:r>
    </w:p>
    <w:p w14:paraId="2DDAAA05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ind w:left="680" w:hanging="280"/>
        <w:jc w:val="both"/>
        <w:rPr>
          <w:rFonts w:ascii="PT Astra Sans" w:hAnsi="PT Astra Sans"/>
        </w:rPr>
      </w:pPr>
      <w:bookmarkStart w:id="23" w:name="bookmark26"/>
      <w:bookmarkEnd w:id="23"/>
      <w:r w:rsidRPr="00B139DB">
        <w:rPr>
          <w:rFonts w:ascii="PT Astra Sans" w:hAnsi="PT Astra Sans"/>
          <w:color w:val="000000"/>
        </w:rPr>
        <w:t>Государственное и негосударственное пенсионное обеспечение. Социальное страхование</w:t>
      </w:r>
    </w:p>
    <w:p w14:paraId="38B93F55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after="40"/>
        <w:ind w:left="680" w:hanging="280"/>
        <w:jc w:val="both"/>
        <w:rPr>
          <w:rFonts w:ascii="PT Astra Sans" w:hAnsi="PT Astra Sans"/>
        </w:rPr>
      </w:pPr>
      <w:bookmarkStart w:id="24" w:name="bookmark27"/>
      <w:bookmarkEnd w:id="24"/>
      <w:r w:rsidRPr="00B139DB">
        <w:rPr>
          <w:rFonts w:ascii="PT Astra Sans" w:hAnsi="PT Astra Sans"/>
          <w:color w:val="000000"/>
        </w:rPr>
        <w:t>Возможности пенсионного накопления. Добровольное пенсионное страхование. Программа долгосрочных сбережений</w:t>
      </w:r>
    </w:p>
    <w:p w14:paraId="35BF7E97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line="353" w:lineRule="auto"/>
        <w:jc w:val="both"/>
        <w:rPr>
          <w:rFonts w:ascii="PT Astra Sans" w:hAnsi="PT Astra Sans"/>
        </w:rPr>
      </w:pPr>
      <w:bookmarkStart w:id="25" w:name="bookmark28"/>
      <w:bookmarkEnd w:id="25"/>
      <w:r w:rsidRPr="00B139DB">
        <w:rPr>
          <w:rFonts w:ascii="PT Astra Sans" w:hAnsi="PT Astra Sans"/>
          <w:color w:val="000000"/>
        </w:rPr>
        <w:t>Налоги и налоговые вычеты</w:t>
      </w:r>
    </w:p>
    <w:p w14:paraId="0E68311D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after="40"/>
        <w:jc w:val="both"/>
        <w:rPr>
          <w:rFonts w:ascii="PT Astra Sans" w:hAnsi="PT Astra Sans"/>
        </w:rPr>
      </w:pPr>
      <w:bookmarkStart w:id="26" w:name="bookmark29"/>
      <w:bookmarkEnd w:id="26"/>
      <w:r w:rsidRPr="00B139DB">
        <w:rPr>
          <w:rFonts w:ascii="PT Astra Sans" w:hAnsi="PT Astra Sans"/>
          <w:color w:val="000000"/>
        </w:rPr>
        <w:t>Финансовые риски и защита от финансового мошенничества</w:t>
      </w:r>
    </w:p>
    <w:p w14:paraId="4E30D93C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line="353" w:lineRule="auto"/>
        <w:jc w:val="both"/>
        <w:rPr>
          <w:rFonts w:ascii="PT Astra Sans" w:hAnsi="PT Astra Sans"/>
        </w:rPr>
      </w:pPr>
      <w:bookmarkStart w:id="27" w:name="bookmark30"/>
      <w:bookmarkEnd w:id="27"/>
      <w:r w:rsidRPr="00B139DB">
        <w:rPr>
          <w:rFonts w:ascii="PT Astra Sans" w:hAnsi="PT Astra Sans"/>
          <w:color w:val="000000"/>
        </w:rPr>
        <w:t>Права и обязанности пользователей финансовых услуг</w:t>
      </w:r>
    </w:p>
    <w:p w14:paraId="430AB960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line="353" w:lineRule="auto"/>
        <w:jc w:val="both"/>
        <w:rPr>
          <w:rFonts w:ascii="PT Astra Sans" w:hAnsi="PT Astra Sans"/>
        </w:rPr>
      </w:pPr>
      <w:bookmarkStart w:id="28" w:name="bookmark31"/>
      <w:bookmarkEnd w:id="28"/>
      <w:r w:rsidRPr="00B139DB">
        <w:rPr>
          <w:rFonts w:ascii="PT Astra Sans" w:hAnsi="PT Astra Sans"/>
          <w:color w:val="000000"/>
        </w:rPr>
        <w:lastRenderedPageBreak/>
        <w:t>Защита прав потребителя финансовых услуг</w:t>
      </w:r>
    </w:p>
    <w:p w14:paraId="0D7664E8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line="353" w:lineRule="auto"/>
        <w:jc w:val="both"/>
        <w:rPr>
          <w:rFonts w:ascii="PT Astra Sans" w:hAnsi="PT Astra Sans"/>
        </w:rPr>
      </w:pPr>
      <w:bookmarkStart w:id="29" w:name="bookmark32"/>
      <w:bookmarkEnd w:id="29"/>
      <w:r w:rsidRPr="00B139DB">
        <w:rPr>
          <w:rFonts w:ascii="PT Astra Sans" w:hAnsi="PT Astra Sans"/>
          <w:color w:val="000000"/>
        </w:rPr>
        <w:t>Преодоление кризисных ситуаций с личными финансами</w:t>
      </w:r>
    </w:p>
    <w:p w14:paraId="1209C145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line="353" w:lineRule="auto"/>
        <w:jc w:val="both"/>
        <w:rPr>
          <w:rFonts w:ascii="PT Astra Sans" w:hAnsi="PT Astra Sans"/>
        </w:rPr>
      </w:pPr>
      <w:bookmarkStart w:id="30" w:name="bookmark33"/>
      <w:bookmarkEnd w:id="30"/>
      <w:r w:rsidRPr="00B139DB">
        <w:rPr>
          <w:rFonts w:ascii="PT Astra Sans" w:hAnsi="PT Astra Sans"/>
          <w:color w:val="000000"/>
        </w:rPr>
        <w:t>Несостоятельность (банкротство) гражданина</w:t>
      </w:r>
    </w:p>
    <w:p w14:paraId="1B483542" w14:textId="77777777" w:rsidR="00B139DB" w:rsidRPr="00B139DB" w:rsidRDefault="00B139DB" w:rsidP="00B139DB">
      <w:pPr>
        <w:pStyle w:val="11"/>
        <w:numPr>
          <w:ilvl w:val="0"/>
          <w:numId w:val="1"/>
        </w:numPr>
        <w:tabs>
          <w:tab w:val="left" w:pos="681"/>
        </w:tabs>
        <w:spacing w:after="40" w:line="353" w:lineRule="auto"/>
        <w:jc w:val="both"/>
        <w:rPr>
          <w:rFonts w:ascii="PT Astra Sans" w:hAnsi="PT Astra Sans"/>
        </w:rPr>
      </w:pPr>
      <w:bookmarkStart w:id="31" w:name="bookmark34"/>
      <w:bookmarkEnd w:id="31"/>
      <w:r w:rsidRPr="00B139DB">
        <w:rPr>
          <w:rFonts w:ascii="PT Astra Sans" w:hAnsi="PT Astra Sans"/>
          <w:color w:val="000000"/>
        </w:rPr>
        <w:t>Достойная старость и подушка безопасности</w:t>
      </w:r>
    </w:p>
    <w:p w14:paraId="6EA12A63" w14:textId="77777777" w:rsidR="00A24DE3" w:rsidRPr="00B139DB" w:rsidRDefault="00A24DE3">
      <w:pPr>
        <w:rPr>
          <w:rFonts w:ascii="PT Astra Sans" w:hAnsi="PT Astra Sans"/>
        </w:rPr>
      </w:pPr>
    </w:p>
    <w:sectPr w:rsidR="00A24DE3" w:rsidRPr="00B139DB" w:rsidSect="00422454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4A6C2" w14:textId="77777777" w:rsidR="00CE5876" w:rsidRDefault="00CE5876" w:rsidP="00422454">
      <w:pPr>
        <w:spacing w:after="0" w:line="240" w:lineRule="auto"/>
      </w:pPr>
      <w:r>
        <w:separator/>
      </w:r>
    </w:p>
  </w:endnote>
  <w:endnote w:type="continuationSeparator" w:id="0">
    <w:p w14:paraId="2C6BB83E" w14:textId="77777777" w:rsidR="00CE5876" w:rsidRDefault="00CE5876" w:rsidP="00422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ans">
    <w:panose1 w:val="020B06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4530875"/>
      <w:docPartObj>
        <w:docPartGallery w:val="Page Numbers (Bottom of Page)"/>
        <w:docPartUnique/>
      </w:docPartObj>
    </w:sdtPr>
    <w:sdtEndPr/>
    <w:sdtContent>
      <w:p w14:paraId="37CB7635" w14:textId="13A411AA" w:rsidR="00422454" w:rsidRDefault="0042245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5E0B31" w14:textId="77777777" w:rsidR="00422454" w:rsidRDefault="0042245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84ACA" w14:textId="77777777" w:rsidR="00CE5876" w:rsidRDefault="00CE5876" w:rsidP="00422454">
      <w:pPr>
        <w:spacing w:after="0" w:line="240" w:lineRule="auto"/>
      </w:pPr>
      <w:r>
        <w:separator/>
      </w:r>
    </w:p>
  </w:footnote>
  <w:footnote w:type="continuationSeparator" w:id="0">
    <w:p w14:paraId="602D3EE6" w14:textId="77777777" w:rsidR="00CE5876" w:rsidRDefault="00CE5876" w:rsidP="00422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3535501"/>
      <w:docPartObj>
        <w:docPartGallery w:val="Page Numbers (Top of Page)"/>
        <w:docPartUnique/>
      </w:docPartObj>
    </w:sdtPr>
    <w:sdtEndPr/>
    <w:sdtContent>
      <w:p w14:paraId="08C4115C" w14:textId="70B9AA1F" w:rsidR="00422454" w:rsidRDefault="005D6236">
        <w:pPr>
          <w:pStyle w:val="a3"/>
          <w:jc w:val="right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05CD94E7" wp14:editId="0632D560">
              <wp:simplePos x="0" y="0"/>
              <wp:positionH relativeFrom="margin">
                <wp:align>right</wp:align>
              </wp:positionH>
              <wp:positionV relativeFrom="paragraph">
                <wp:posOffset>-1905</wp:posOffset>
              </wp:positionV>
              <wp:extent cx="1914525" cy="280035"/>
              <wp:effectExtent l="0" t="0" r="9525" b="5715"/>
              <wp:wrapThrough wrapText="bothSides">
                <wp:wrapPolygon edited="0">
                  <wp:start x="0" y="0"/>
                  <wp:lineTo x="0" y="20571"/>
                  <wp:lineTo x="10531" y="20571"/>
                  <wp:lineTo x="21493" y="17633"/>
                  <wp:lineTo x="21493" y="0"/>
                  <wp:lineTo x="10316" y="0"/>
                  <wp:lineTo x="0" y="0"/>
                </wp:wrapPolygon>
              </wp:wrapThrough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14525" cy="280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</w:sdtContent>
  </w:sdt>
  <w:p w14:paraId="1E18C6E9" w14:textId="5CAD8B41" w:rsidR="00422454" w:rsidRDefault="004224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5030B"/>
    <w:multiLevelType w:val="multilevel"/>
    <w:tmpl w:val="7F1E194E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54"/>
    <w:rsid w:val="00055924"/>
    <w:rsid w:val="00287DDC"/>
    <w:rsid w:val="002D2464"/>
    <w:rsid w:val="002E0279"/>
    <w:rsid w:val="003517FF"/>
    <w:rsid w:val="00422454"/>
    <w:rsid w:val="005D6236"/>
    <w:rsid w:val="00A24DE3"/>
    <w:rsid w:val="00B139DB"/>
    <w:rsid w:val="00CE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73679"/>
  <w15:chartTrackingRefBased/>
  <w15:docId w15:val="{7FEE235F-1EC0-43FF-9FE9-7FCC769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39DB"/>
    <w:pPr>
      <w:keepNext/>
      <w:keepLines/>
      <w:spacing w:before="240" w:after="0"/>
      <w:outlineLvl w:val="0"/>
    </w:pPr>
    <w:rPr>
      <w:rFonts w:ascii="PT Astra Sans" w:eastAsiaTheme="majorEastAsia" w:hAnsi="PT Astra Sans" w:cstheme="majorBidi"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2454"/>
  </w:style>
  <w:style w:type="paragraph" w:styleId="a5">
    <w:name w:val="footer"/>
    <w:basedOn w:val="a"/>
    <w:link w:val="a6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2454"/>
  </w:style>
  <w:style w:type="character" w:customStyle="1" w:styleId="a7">
    <w:name w:val="Основной текст_"/>
    <w:basedOn w:val="a0"/>
    <w:link w:val="11"/>
    <w:rsid w:val="00B139DB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0"/>
    <w:link w:val="20"/>
    <w:rsid w:val="00B139DB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">
    <w:name w:val="Основной текст1"/>
    <w:basedOn w:val="a"/>
    <w:link w:val="a7"/>
    <w:rsid w:val="00B139DB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rsid w:val="00B139DB"/>
    <w:pPr>
      <w:widowControl w:val="0"/>
      <w:spacing w:before="130" w:after="3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B139DB"/>
    <w:rPr>
      <w:rFonts w:ascii="PT Astra Sans" w:eastAsiaTheme="majorEastAsia" w:hAnsi="PT Astra Sans" w:cstheme="majorBidi"/>
      <w:sz w:val="3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Цой</dc:creator>
  <cp:keywords/>
  <dc:description/>
  <cp:lastModifiedBy>Алексей Цой</cp:lastModifiedBy>
  <cp:revision>3</cp:revision>
  <dcterms:created xsi:type="dcterms:W3CDTF">2026-08-19T06:51:00Z</dcterms:created>
  <dcterms:modified xsi:type="dcterms:W3CDTF">2026-08-19T08:47:00Z</dcterms:modified>
</cp:coreProperties>
</file>