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65D72" w14:textId="6BA090AF" w:rsidR="00204CDF" w:rsidRPr="00204CDF" w:rsidRDefault="00204CDF" w:rsidP="00CE2641">
      <w:pPr>
        <w:pStyle w:val="1"/>
        <w:tabs>
          <w:tab w:val="left" w:pos="680"/>
        </w:tabs>
      </w:pPr>
      <w:bookmarkStart w:id="0" w:name="bookmark434"/>
      <w:bookmarkStart w:id="1" w:name="bookmark435"/>
      <w:bookmarkStart w:id="2" w:name="bookmark436"/>
      <w:r w:rsidRPr="00CE2641">
        <w:rPr>
          <w:b/>
          <w:bCs/>
        </w:rPr>
        <w:t>Фондовый рынок (рынок ценных бумаг)</w:t>
      </w:r>
      <w:bookmarkEnd w:id="0"/>
      <w:bookmarkEnd w:id="1"/>
      <w:bookmarkEnd w:id="2"/>
    </w:p>
    <w:p w14:paraId="2E6BCB23" w14:textId="4BFEF5C6" w:rsidR="00204CDF" w:rsidRPr="00331BF9"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 xml:space="preserve">Ценная бумага </w:t>
      </w:r>
      <w:r w:rsidRPr="00204CDF">
        <w:rPr>
          <w:rFonts w:ascii="PT Astra Sans" w:hAnsi="PT Astra Sans"/>
        </w:rPr>
        <w:t>— это</w:t>
      </w:r>
      <w:r w:rsidRPr="00204CDF">
        <w:rPr>
          <w:rFonts w:ascii="PT Astra Sans" w:hAnsi="PT Astra Sans"/>
        </w:rPr>
        <w:t xml:space="preserve">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w:t>
      </w:r>
    </w:p>
    <w:p w14:paraId="785CC6B1"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Сравнение ценных бумаг: акции и облигации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38"/>
        <w:gridCol w:w="4111"/>
        <w:gridCol w:w="3704"/>
      </w:tblGrid>
      <w:tr w:rsidR="00204CDF" w:rsidRPr="00204CDF" w14:paraId="62838B7E" w14:textId="77777777" w:rsidTr="00165A12">
        <w:tblPrEx>
          <w:tblCellMar>
            <w:top w:w="0" w:type="dxa"/>
            <w:bottom w:w="0" w:type="dxa"/>
          </w:tblCellMar>
        </w:tblPrEx>
        <w:trPr>
          <w:trHeight w:hRule="exact" w:val="838"/>
          <w:jc w:val="center"/>
        </w:trPr>
        <w:tc>
          <w:tcPr>
            <w:tcW w:w="1838" w:type="dxa"/>
            <w:tcBorders>
              <w:top w:val="single" w:sz="4" w:space="0" w:color="auto"/>
              <w:left w:val="single" w:sz="4" w:space="0" w:color="auto"/>
            </w:tcBorders>
            <w:shd w:val="clear" w:color="auto" w:fill="FFFFFF"/>
            <w:vAlign w:val="center"/>
          </w:tcPr>
          <w:p w14:paraId="1A3F715C" w14:textId="0DB6B8A0" w:rsidR="00204CDF" w:rsidRPr="00204CDF" w:rsidRDefault="00204CDF" w:rsidP="008C3317">
            <w:pPr>
              <w:pStyle w:val="11"/>
              <w:tabs>
                <w:tab w:val="left" w:pos="681"/>
              </w:tabs>
              <w:ind w:left="123" w:firstLine="0"/>
              <w:rPr>
                <w:rFonts w:ascii="PT Astra Sans" w:hAnsi="PT Astra Sans"/>
              </w:rPr>
            </w:pPr>
            <w:r w:rsidRPr="00204CDF">
              <w:rPr>
                <w:rFonts w:ascii="PT Astra Sans" w:hAnsi="PT Astra Sans"/>
              </w:rPr>
              <w:t>Лини</w:t>
            </w:r>
            <w:r w:rsidR="008C3317">
              <w:rPr>
                <w:rFonts w:ascii="PT Astra Sans" w:hAnsi="PT Astra Sans"/>
              </w:rPr>
              <w:t>и с</w:t>
            </w:r>
            <w:r w:rsidRPr="00204CDF">
              <w:rPr>
                <w:rFonts w:ascii="PT Astra Sans" w:hAnsi="PT Astra Sans"/>
              </w:rPr>
              <w:t>равнения</w:t>
            </w:r>
          </w:p>
        </w:tc>
        <w:tc>
          <w:tcPr>
            <w:tcW w:w="4111" w:type="dxa"/>
            <w:tcBorders>
              <w:top w:val="single" w:sz="4" w:space="0" w:color="auto"/>
              <w:left w:val="single" w:sz="4" w:space="0" w:color="auto"/>
            </w:tcBorders>
            <w:shd w:val="clear" w:color="auto" w:fill="FFFFFF"/>
            <w:vAlign w:val="center"/>
          </w:tcPr>
          <w:p w14:paraId="0EEC900C" w14:textId="77777777" w:rsidR="00204CDF" w:rsidRPr="00204CDF" w:rsidRDefault="00204CDF" w:rsidP="008C3317">
            <w:pPr>
              <w:pStyle w:val="11"/>
              <w:tabs>
                <w:tab w:val="left" w:pos="681"/>
              </w:tabs>
              <w:ind w:left="134" w:firstLine="0"/>
              <w:rPr>
                <w:rFonts w:ascii="PT Astra Sans" w:hAnsi="PT Astra Sans"/>
              </w:rPr>
            </w:pPr>
            <w:r w:rsidRPr="00204CDF">
              <w:rPr>
                <w:rFonts w:ascii="PT Astra Sans" w:hAnsi="PT Astra Sans"/>
              </w:rPr>
              <w:t>Акция</w:t>
            </w:r>
          </w:p>
        </w:tc>
        <w:tc>
          <w:tcPr>
            <w:tcW w:w="3704" w:type="dxa"/>
            <w:tcBorders>
              <w:top w:val="single" w:sz="4" w:space="0" w:color="auto"/>
              <w:left w:val="single" w:sz="4" w:space="0" w:color="auto"/>
              <w:right w:val="single" w:sz="4" w:space="0" w:color="auto"/>
            </w:tcBorders>
            <w:shd w:val="clear" w:color="auto" w:fill="FFFFFF"/>
            <w:vAlign w:val="center"/>
          </w:tcPr>
          <w:p w14:paraId="245EC3A0" w14:textId="77777777" w:rsidR="00204CDF" w:rsidRPr="00204CDF" w:rsidRDefault="00204CDF" w:rsidP="008C3317">
            <w:pPr>
              <w:pStyle w:val="11"/>
              <w:tabs>
                <w:tab w:val="left" w:pos="681"/>
              </w:tabs>
              <w:ind w:left="128" w:firstLine="0"/>
              <w:rPr>
                <w:rFonts w:ascii="PT Astra Sans" w:hAnsi="PT Astra Sans"/>
              </w:rPr>
            </w:pPr>
            <w:r w:rsidRPr="00204CDF">
              <w:rPr>
                <w:rFonts w:ascii="PT Astra Sans" w:hAnsi="PT Astra Sans"/>
              </w:rPr>
              <w:t>Облигация</w:t>
            </w:r>
          </w:p>
        </w:tc>
      </w:tr>
      <w:tr w:rsidR="00204CDF" w:rsidRPr="00204CDF" w14:paraId="012B79B4" w14:textId="77777777" w:rsidTr="00165A12">
        <w:tblPrEx>
          <w:tblCellMar>
            <w:top w:w="0" w:type="dxa"/>
            <w:bottom w:w="0" w:type="dxa"/>
          </w:tblCellMar>
        </w:tblPrEx>
        <w:trPr>
          <w:trHeight w:hRule="exact" w:val="2409"/>
          <w:jc w:val="center"/>
        </w:trPr>
        <w:tc>
          <w:tcPr>
            <w:tcW w:w="1838" w:type="dxa"/>
            <w:tcBorders>
              <w:top w:val="single" w:sz="4" w:space="0" w:color="auto"/>
              <w:left w:val="single" w:sz="4" w:space="0" w:color="auto"/>
            </w:tcBorders>
            <w:shd w:val="clear" w:color="auto" w:fill="FFFFFF"/>
            <w:vAlign w:val="center"/>
          </w:tcPr>
          <w:p w14:paraId="6B8B4DB8" w14:textId="77777777" w:rsidR="00204CDF" w:rsidRPr="00204CDF" w:rsidRDefault="00204CDF" w:rsidP="008C3317">
            <w:pPr>
              <w:pStyle w:val="11"/>
              <w:tabs>
                <w:tab w:val="left" w:pos="681"/>
              </w:tabs>
              <w:ind w:left="123" w:firstLine="0"/>
              <w:rPr>
                <w:rFonts w:ascii="PT Astra Sans" w:hAnsi="PT Astra Sans"/>
              </w:rPr>
            </w:pPr>
            <w:r w:rsidRPr="00204CDF">
              <w:rPr>
                <w:rFonts w:ascii="PT Astra Sans" w:hAnsi="PT Astra Sans"/>
              </w:rPr>
              <w:t>Определение</w:t>
            </w:r>
          </w:p>
        </w:tc>
        <w:tc>
          <w:tcPr>
            <w:tcW w:w="4111" w:type="dxa"/>
            <w:tcBorders>
              <w:top w:val="single" w:sz="4" w:space="0" w:color="auto"/>
              <w:left w:val="single" w:sz="4" w:space="0" w:color="auto"/>
            </w:tcBorders>
            <w:shd w:val="clear" w:color="auto" w:fill="FFFFFF"/>
            <w:vAlign w:val="center"/>
          </w:tcPr>
          <w:p w14:paraId="34B1F557" w14:textId="0CEE4174" w:rsidR="00204CDF" w:rsidRPr="00204CDF" w:rsidRDefault="00204CDF" w:rsidP="008C3317">
            <w:pPr>
              <w:pStyle w:val="11"/>
              <w:tabs>
                <w:tab w:val="left" w:pos="681"/>
              </w:tabs>
              <w:ind w:left="134" w:firstLine="0"/>
              <w:rPr>
                <w:rFonts w:ascii="PT Astra Sans" w:hAnsi="PT Astra Sans"/>
              </w:rPr>
            </w:pPr>
            <w:r w:rsidRPr="00204CDF">
              <w:rPr>
                <w:rFonts w:ascii="PT Astra Sans" w:hAnsi="PT Astra Sans"/>
              </w:rPr>
              <w:t>Долевая ценная бумага: покупка акции означает внесение доли в капитал</w:t>
            </w:r>
            <w:r w:rsidR="008C3317">
              <w:rPr>
                <w:rFonts w:ascii="PT Astra Sans" w:hAnsi="PT Astra Sans"/>
              </w:rPr>
              <w:t xml:space="preserve"> </w:t>
            </w:r>
            <w:r w:rsidRPr="00204CDF">
              <w:rPr>
                <w:rFonts w:ascii="PT Astra Sans" w:hAnsi="PT Astra Sans"/>
              </w:rPr>
              <w:t>акционерного</w:t>
            </w:r>
            <w:r w:rsidR="008C3317">
              <w:rPr>
                <w:rFonts w:ascii="PT Astra Sans" w:hAnsi="PT Astra Sans"/>
              </w:rPr>
              <w:t xml:space="preserve"> </w:t>
            </w:r>
            <w:r w:rsidRPr="00204CDF">
              <w:rPr>
                <w:rFonts w:ascii="PT Astra Sans" w:hAnsi="PT Astra Sans"/>
              </w:rPr>
              <w:t>общества,</w:t>
            </w:r>
            <w:r w:rsidR="008C3317">
              <w:rPr>
                <w:rFonts w:ascii="PT Astra Sans" w:hAnsi="PT Astra Sans"/>
              </w:rPr>
              <w:t xml:space="preserve"> </w:t>
            </w:r>
            <w:r w:rsidRPr="00204CDF">
              <w:rPr>
                <w:rFonts w:ascii="PT Astra Sans" w:hAnsi="PT Astra Sans"/>
              </w:rPr>
              <w:t>покупатель</w:t>
            </w:r>
            <w:r w:rsidR="008C3317">
              <w:rPr>
                <w:rFonts w:ascii="PT Astra Sans" w:hAnsi="PT Astra Sans"/>
              </w:rPr>
              <w:t>–</w:t>
            </w:r>
            <w:r w:rsidRPr="00204CDF">
              <w:rPr>
                <w:rFonts w:ascii="PT Astra Sans" w:hAnsi="PT Astra Sans"/>
              </w:rPr>
              <w:t>совладелец компании</w:t>
            </w:r>
          </w:p>
        </w:tc>
        <w:tc>
          <w:tcPr>
            <w:tcW w:w="3704" w:type="dxa"/>
            <w:tcBorders>
              <w:top w:val="single" w:sz="4" w:space="0" w:color="auto"/>
              <w:left w:val="single" w:sz="4" w:space="0" w:color="auto"/>
              <w:right w:val="single" w:sz="4" w:space="0" w:color="auto"/>
            </w:tcBorders>
            <w:shd w:val="clear" w:color="auto" w:fill="FFFFFF"/>
            <w:vAlign w:val="center"/>
          </w:tcPr>
          <w:p w14:paraId="543144DB" w14:textId="48C02B59" w:rsidR="00204CDF" w:rsidRPr="00204CDF" w:rsidRDefault="00204CDF" w:rsidP="008C3317">
            <w:pPr>
              <w:pStyle w:val="11"/>
              <w:tabs>
                <w:tab w:val="left" w:pos="681"/>
              </w:tabs>
              <w:ind w:left="128" w:firstLine="0"/>
              <w:rPr>
                <w:rFonts w:ascii="PT Astra Sans" w:hAnsi="PT Astra Sans"/>
              </w:rPr>
            </w:pPr>
            <w:r w:rsidRPr="00204CDF">
              <w:rPr>
                <w:rFonts w:ascii="PT Astra Sans" w:hAnsi="PT Astra Sans"/>
              </w:rPr>
              <w:t>Долговая ценная бумага: покупка облигации означает предоставление займа</w:t>
            </w:r>
            <w:r w:rsidR="008C3317">
              <w:rPr>
                <w:rFonts w:ascii="PT Astra Sans" w:hAnsi="PT Astra Sans"/>
              </w:rPr>
              <w:t xml:space="preserve"> </w:t>
            </w:r>
            <w:r w:rsidRPr="00204CDF">
              <w:rPr>
                <w:rFonts w:ascii="PT Astra Sans" w:hAnsi="PT Astra Sans"/>
              </w:rPr>
              <w:t>предприятию</w:t>
            </w:r>
            <w:r w:rsidR="008C3317">
              <w:rPr>
                <w:rFonts w:ascii="PT Astra Sans" w:hAnsi="PT Astra Sans"/>
              </w:rPr>
              <w:t xml:space="preserve"> </w:t>
            </w:r>
            <w:r w:rsidRPr="00204CDF">
              <w:rPr>
                <w:rFonts w:ascii="PT Astra Sans" w:hAnsi="PT Astra Sans"/>
              </w:rPr>
              <w:t>или</w:t>
            </w:r>
            <w:r w:rsidR="008C3317">
              <w:rPr>
                <w:rFonts w:ascii="PT Astra Sans" w:hAnsi="PT Astra Sans"/>
              </w:rPr>
              <w:t xml:space="preserve"> </w:t>
            </w:r>
            <w:r w:rsidRPr="00204CDF">
              <w:rPr>
                <w:rFonts w:ascii="PT Astra Sans" w:hAnsi="PT Astra Sans"/>
              </w:rPr>
              <w:t>государству, который оно обязано вернуть (выкупить облигацию)</w:t>
            </w:r>
          </w:p>
        </w:tc>
      </w:tr>
      <w:tr w:rsidR="00204CDF" w:rsidRPr="00204CDF" w14:paraId="452F219C" w14:textId="77777777" w:rsidTr="00165A12">
        <w:tblPrEx>
          <w:tblCellMar>
            <w:top w:w="0" w:type="dxa"/>
            <w:bottom w:w="0" w:type="dxa"/>
          </w:tblCellMar>
        </w:tblPrEx>
        <w:trPr>
          <w:trHeight w:hRule="exact" w:val="3259"/>
          <w:jc w:val="center"/>
        </w:trPr>
        <w:tc>
          <w:tcPr>
            <w:tcW w:w="1838" w:type="dxa"/>
            <w:tcBorders>
              <w:top w:val="single" w:sz="4" w:space="0" w:color="auto"/>
              <w:left w:val="single" w:sz="4" w:space="0" w:color="auto"/>
            </w:tcBorders>
            <w:shd w:val="clear" w:color="auto" w:fill="FFFFFF"/>
            <w:vAlign w:val="center"/>
          </w:tcPr>
          <w:p w14:paraId="7BE89054" w14:textId="77777777" w:rsidR="00204CDF" w:rsidRPr="00204CDF" w:rsidRDefault="00204CDF" w:rsidP="008C3317">
            <w:pPr>
              <w:pStyle w:val="11"/>
              <w:tabs>
                <w:tab w:val="left" w:pos="681"/>
              </w:tabs>
              <w:ind w:left="123" w:firstLine="0"/>
              <w:rPr>
                <w:rFonts w:ascii="PT Astra Sans" w:hAnsi="PT Astra Sans"/>
              </w:rPr>
            </w:pPr>
            <w:r w:rsidRPr="00204CDF">
              <w:rPr>
                <w:rFonts w:ascii="PT Astra Sans" w:hAnsi="PT Astra Sans"/>
              </w:rPr>
              <w:t>Доходность</w:t>
            </w:r>
          </w:p>
        </w:tc>
        <w:tc>
          <w:tcPr>
            <w:tcW w:w="4111" w:type="dxa"/>
            <w:tcBorders>
              <w:top w:val="single" w:sz="4" w:space="0" w:color="auto"/>
              <w:left w:val="single" w:sz="4" w:space="0" w:color="auto"/>
            </w:tcBorders>
            <w:shd w:val="clear" w:color="auto" w:fill="FFFFFF"/>
            <w:vAlign w:val="center"/>
          </w:tcPr>
          <w:p w14:paraId="24779DC2" w14:textId="4BE4313C" w:rsidR="00204CDF" w:rsidRPr="00204CDF" w:rsidRDefault="00204CDF" w:rsidP="008C3317">
            <w:pPr>
              <w:pStyle w:val="11"/>
              <w:tabs>
                <w:tab w:val="left" w:pos="681"/>
              </w:tabs>
              <w:ind w:left="134" w:firstLine="0"/>
              <w:rPr>
                <w:rFonts w:ascii="PT Astra Sans" w:hAnsi="PT Astra Sans"/>
              </w:rPr>
            </w:pPr>
            <w:r w:rsidRPr="00204CDF">
              <w:rPr>
                <w:rFonts w:ascii="PT Astra Sans" w:hAnsi="PT Astra Sans"/>
              </w:rPr>
              <w:t>Доход</w:t>
            </w:r>
            <w:r w:rsidR="008C3317">
              <w:rPr>
                <w:rFonts w:ascii="PT Astra Sans" w:hAnsi="PT Astra Sans"/>
              </w:rPr>
              <w:t xml:space="preserve"> </w:t>
            </w:r>
            <w:r w:rsidRPr="00204CDF">
              <w:rPr>
                <w:rFonts w:ascii="PT Astra Sans" w:hAnsi="PT Astra Sans"/>
              </w:rPr>
              <w:t>выплачивается</w:t>
            </w:r>
            <w:r w:rsidR="008C3317">
              <w:rPr>
                <w:rFonts w:ascii="PT Astra Sans" w:hAnsi="PT Astra Sans"/>
              </w:rPr>
              <w:t xml:space="preserve"> </w:t>
            </w:r>
            <w:r w:rsidRPr="00204CDF">
              <w:rPr>
                <w:rFonts w:ascii="PT Astra Sans" w:hAnsi="PT Astra Sans"/>
              </w:rPr>
              <w:t>в</w:t>
            </w:r>
            <w:r w:rsidR="008C3317">
              <w:rPr>
                <w:rFonts w:ascii="PT Astra Sans" w:hAnsi="PT Astra Sans"/>
              </w:rPr>
              <w:t xml:space="preserve"> </w:t>
            </w:r>
            <w:r w:rsidRPr="00204CDF">
              <w:rPr>
                <w:rFonts w:ascii="PT Astra Sans" w:hAnsi="PT Astra Sans"/>
              </w:rPr>
              <w:t>виде</w:t>
            </w:r>
            <w:r w:rsidR="008C3317">
              <w:rPr>
                <w:rFonts w:ascii="PT Astra Sans" w:hAnsi="PT Astra Sans"/>
              </w:rPr>
              <w:t xml:space="preserve"> </w:t>
            </w:r>
            <w:r w:rsidRPr="00204CDF">
              <w:rPr>
                <w:rFonts w:ascii="PT Astra Sans" w:hAnsi="PT Astra Sans"/>
              </w:rPr>
              <w:t>дивиденда:</w:t>
            </w:r>
            <w:r w:rsidR="008C3317">
              <w:rPr>
                <w:rFonts w:ascii="PT Astra Sans" w:hAnsi="PT Astra Sans"/>
              </w:rPr>
              <w:t xml:space="preserve"> </w:t>
            </w:r>
            <w:r w:rsidRPr="00204CDF">
              <w:rPr>
                <w:rFonts w:ascii="PT Astra Sans" w:hAnsi="PT Astra Sans"/>
              </w:rPr>
              <w:t>фиксирован</w:t>
            </w:r>
            <w:r w:rsidR="008C3317">
              <w:rPr>
                <w:rFonts w:ascii="PT Astra Sans" w:hAnsi="PT Astra Sans"/>
              </w:rPr>
              <w:t xml:space="preserve"> </w:t>
            </w:r>
            <w:r w:rsidRPr="00204CDF">
              <w:rPr>
                <w:rFonts w:ascii="PT Astra Sans" w:hAnsi="PT Astra Sans"/>
              </w:rPr>
              <w:t>по</w:t>
            </w:r>
            <w:r w:rsidR="008C3317">
              <w:rPr>
                <w:rFonts w:ascii="PT Astra Sans" w:hAnsi="PT Astra Sans"/>
              </w:rPr>
              <w:t xml:space="preserve"> </w:t>
            </w:r>
            <w:r w:rsidRPr="00204CDF">
              <w:rPr>
                <w:rFonts w:ascii="PT Astra Sans" w:hAnsi="PT Astra Sans"/>
              </w:rPr>
              <w:t>привилегированным</w:t>
            </w:r>
            <w:r w:rsidR="008C3317">
              <w:rPr>
                <w:rFonts w:ascii="PT Astra Sans" w:hAnsi="PT Astra Sans"/>
              </w:rPr>
              <w:t xml:space="preserve"> </w:t>
            </w:r>
            <w:r w:rsidRPr="00204CDF">
              <w:rPr>
                <w:rFonts w:ascii="PT Astra Sans" w:hAnsi="PT Astra Sans"/>
              </w:rPr>
              <w:t>акциям,</w:t>
            </w:r>
            <w:r w:rsidR="008C3317">
              <w:rPr>
                <w:rFonts w:ascii="PT Astra Sans" w:hAnsi="PT Astra Sans"/>
              </w:rPr>
              <w:t xml:space="preserve"> </w:t>
            </w:r>
            <w:r w:rsidRPr="00204CDF">
              <w:rPr>
                <w:rFonts w:ascii="PT Astra Sans" w:hAnsi="PT Astra Sans"/>
              </w:rPr>
              <w:t>не</w:t>
            </w:r>
            <w:r w:rsidR="008C3317">
              <w:rPr>
                <w:rFonts w:ascii="PT Astra Sans" w:hAnsi="PT Astra Sans"/>
              </w:rPr>
              <w:t xml:space="preserve"> </w:t>
            </w:r>
            <w:r w:rsidRPr="00204CDF">
              <w:rPr>
                <w:rFonts w:ascii="PT Astra Sans" w:hAnsi="PT Astra Sans"/>
              </w:rPr>
              <w:t>фиксирован по простым акциям (зависит от прибыли компании), зависит от курсовой стоимости акций на рынке</w:t>
            </w:r>
          </w:p>
        </w:tc>
        <w:tc>
          <w:tcPr>
            <w:tcW w:w="3704" w:type="dxa"/>
            <w:tcBorders>
              <w:top w:val="single" w:sz="4" w:space="0" w:color="auto"/>
              <w:left w:val="single" w:sz="4" w:space="0" w:color="auto"/>
              <w:right w:val="single" w:sz="4" w:space="0" w:color="auto"/>
            </w:tcBorders>
            <w:shd w:val="clear" w:color="auto" w:fill="FFFFFF"/>
            <w:vAlign w:val="center"/>
          </w:tcPr>
          <w:p w14:paraId="1BEBEEA6" w14:textId="77777777" w:rsidR="00204CDF" w:rsidRPr="00204CDF" w:rsidRDefault="00204CDF" w:rsidP="008C3317">
            <w:pPr>
              <w:pStyle w:val="11"/>
              <w:tabs>
                <w:tab w:val="left" w:pos="681"/>
              </w:tabs>
              <w:ind w:left="128" w:firstLine="0"/>
              <w:rPr>
                <w:rFonts w:ascii="PT Astra Sans" w:hAnsi="PT Astra Sans"/>
              </w:rPr>
            </w:pPr>
            <w:r w:rsidRPr="00204CDF">
              <w:rPr>
                <w:rFonts w:ascii="PT Astra Sans" w:hAnsi="PT Astra Sans"/>
              </w:rPr>
              <w:t>Фиксирована, выплачивается в виде процента от номинальной стоимости облигации</w:t>
            </w:r>
          </w:p>
        </w:tc>
      </w:tr>
      <w:tr w:rsidR="00204CDF" w:rsidRPr="00204CDF" w14:paraId="63102881" w14:textId="77777777" w:rsidTr="00165A12">
        <w:tblPrEx>
          <w:tblCellMar>
            <w:top w:w="0" w:type="dxa"/>
            <w:bottom w:w="0" w:type="dxa"/>
          </w:tblCellMar>
        </w:tblPrEx>
        <w:trPr>
          <w:trHeight w:hRule="exact" w:val="4260"/>
          <w:jc w:val="center"/>
        </w:trPr>
        <w:tc>
          <w:tcPr>
            <w:tcW w:w="1838" w:type="dxa"/>
            <w:tcBorders>
              <w:top w:val="single" w:sz="4" w:space="0" w:color="auto"/>
              <w:left w:val="single" w:sz="4" w:space="0" w:color="auto"/>
              <w:bottom w:val="single" w:sz="4" w:space="0" w:color="auto"/>
            </w:tcBorders>
            <w:shd w:val="clear" w:color="auto" w:fill="FFFFFF"/>
            <w:vAlign w:val="center"/>
          </w:tcPr>
          <w:p w14:paraId="3C292634" w14:textId="77777777" w:rsidR="00204CDF" w:rsidRPr="00204CDF" w:rsidRDefault="00204CDF" w:rsidP="008C3317">
            <w:pPr>
              <w:pStyle w:val="11"/>
              <w:tabs>
                <w:tab w:val="left" w:pos="681"/>
              </w:tabs>
              <w:ind w:left="123" w:firstLine="0"/>
              <w:rPr>
                <w:rFonts w:ascii="PT Astra Sans" w:hAnsi="PT Astra Sans"/>
              </w:rPr>
            </w:pPr>
            <w:r w:rsidRPr="00204CDF">
              <w:rPr>
                <w:rFonts w:ascii="PT Astra Sans" w:hAnsi="PT Astra Sans"/>
              </w:rPr>
              <w:t>Виды</w:t>
            </w:r>
          </w:p>
        </w:tc>
        <w:tc>
          <w:tcPr>
            <w:tcW w:w="4111" w:type="dxa"/>
            <w:tcBorders>
              <w:top w:val="single" w:sz="4" w:space="0" w:color="auto"/>
              <w:left w:val="single" w:sz="4" w:space="0" w:color="auto"/>
              <w:bottom w:val="single" w:sz="4" w:space="0" w:color="auto"/>
            </w:tcBorders>
            <w:shd w:val="clear" w:color="auto" w:fill="FFFFFF"/>
            <w:vAlign w:val="center"/>
          </w:tcPr>
          <w:p w14:paraId="520DFF7C" w14:textId="16436D42" w:rsidR="00204CDF" w:rsidRPr="00204CDF" w:rsidRDefault="00204CDF" w:rsidP="008C3317">
            <w:pPr>
              <w:pStyle w:val="11"/>
              <w:tabs>
                <w:tab w:val="left" w:pos="681"/>
              </w:tabs>
              <w:ind w:left="134" w:firstLine="0"/>
              <w:rPr>
                <w:rFonts w:ascii="PT Astra Sans" w:hAnsi="PT Astra Sans"/>
              </w:rPr>
            </w:pPr>
            <w:r w:rsidRPr="00204CDF">
              <w:rPr>
                <w:rFonts w:ascii="PT Astra Sans" w:hAnsi="PT Astra Sans"/>
              </w:rPr>
              <w:t>Именные</w:t>
            </w:r>
            <w:r w:rsidR="008C3317">
              <w:rPr>
                <w:rFonts w:ascii="PT Astra Sans" w:hAnsi="PT Astra Sans"/>
              </w:rPr>
              <w:t xml:space="preserve"> </w:t>
            </w:r>
            <w:r w:rsidRPr="00204CDF">
              <w:rPr>
                <w:rFonts w:ascii="PT Astra Sans" w:hAnsi="PT Astra Sans"/>
              </w:rPr>
              <w:t>акции</w:t>
            </w:r>
            <w:r w:rsidR="008C3317">
              <w:rPr>
                <w:rFonts w:ascii="PT Astra Sans" w:hAnsi="PT Astra Sans"/>
              </w:rPr>
              <w:t xml:space="preserve"> </w:t>
            </w:r>
            <w:r w:rsidRPr="00204CDF">
              <w:rPr>
                <w:rFonts w:ascii="PT Astra Sans" w:hAnsi="PT Astra Sans"/>
              </w:rPr>
              <w:t>выпускаются</w:t>
            </w:r>
            <w:r w:rsidR="008C3317">
              <w:rPr>
                <w:rFonts w:ascii="PT Astra Sans" w:hAnsi="PT Astra Sans"/>
              </w:rPr>
              <w:t xml:space="preserve"> </w:t>
            </w:r>
            <w:r w:rsidRPr="00204CDF">
              <w:rPr>
                <w:rFonts w:ascii="PT Astra Sans" w:hAnsi="PT Astra Sans"/>
              </w:rPr>
              <w:t>большим номиналом, все данные о них и их владельцах регистрируются. Акции на предъявителя выпускаются небольшим</w:t>
            </w:r>
            <w:r w:rsidR="008C3317">
              <w:rPr>
                <w:rFonts w:ascii="PT Astra Sans" w:hAnsi="PT Astra Sans"/>
              </w:rPr>
              <w:t xml:space="preserve"> </w:t>
            </w:r>
            <w:r w:rsidRPr="00204CDF">
              <w:rPr>
                <w:rFonts w:ascii="PT Astra Sans" w:hAnsi="PT Astra Sans"/>
              </w:rPr>
              <w:t>номиналом,</w:t>
            </w:r>
            <w:r w:rsidR="008C3317">
              <w:rPr>
                <w:rFonts w:ascii="PT Astra Sans" w:hAnsi="PT Astra Sans"/>
              </w:rPr>
              <w:t xml:space="preserve"> </w:t>
            </w:r>
            <w:r w:rsidRPr="00204CDF">
              <w:rPr>
                <w:rFonts w:ascii="PT Astra Sans" w:hAnsi="PT Astra Sans"/>
              </w:rPr>
              <w:t>регистрируется лишь их количество. Владельцы простых акций участвуют в</w:t>
            </w:r>
            <w:r w:rsidR="008C3317">
              <w:rPr>
                <w:rFonts w:ascii="PT Astra Sans" w:hAnsi="PT Astra Sans"/>
              </w:rPr>
              <w:t xml:space="preserve"> </w:t>
            </w:r>
            <w:r w:rsidRPr="00204CDF">
              <w:rPr>
                <w:rFonts w:ascii="PT Astra Sans" w:hAnsi="PT Astra Sans"/>
              </w:rPr>
              <w:t>управлении</w:t>
            </w:r>
            <w:r w:rsidR="008C3317">
              <w:rPr>
                <w:rFonts w:ascii="PT Astra Sans" w:hAnsi="PT Astra Sans"/>
              </w:rPr>
              <w:t xml:space="preserve"> </w:t>
            </w:r>
            <w:r w:rsidRPr="00204CDF">
              <w:rPr>
                <w:rFonts w:ascii="PT Astra Sans" w:hAnsi="PT Astra Sans"/>
              </w:rPr>
              <w:t>акционерным</w:t>
            </w:r>
            <w:r w:rsidR="008C3317">
              <w:rPr>
                <w:rFonts w:ascii="PT Astra Sans" w:hAnsi="PT Astra Sans"/>
              </w:rPr>
              <w:t xml:space="preserve"> </w:t>
            </w:r>
            <w:r w:rsidRPr="00204CDF">
              <w:rPr>
                <w:rFonts w:ascii="PT Astra Sans" w:hAnsi="PT Astra Sans"/>
              </w:rPr>
              <w:t>обществом,</w:t>
            </w:r>
            <w:r w:rsidR="008C3317">
              <w:rPr>
                <w:rFonts w:ascii="PT Astra Sans" w:hAnsi="PT Astra Sans"/>
              </w:rPr>
              <w:t xml:space="preserve"> </w:t>
            </w:r>
            <w:r w:rsidRPr="00204CDF">
              <w:rPr>
                <w:rFonts w:ascii="PT Astra Sans" w:hAnsi="PT Astra Sans"/>
              </w:rPr>
              <w:t>привилегированных - нет</w:t>
            </w:r>
          </w:p>
        </w:tc>
        <w:tc>
          <w:tcPr>
            <w:tcW w:w="3704" w:type="dxa"/>
            <w:tcBorders>
              <w:top w:val="single" w:sz="4" w:space="0" w:color="auto"/>
              <w:left w:val="single" w:sz="4" w:space="0" w:color="auto"/>
              <w:bottom w:val="single" w:sz="4" w:space="0" w:color="auto"/>
              <w:right w:val="single" w:sz="4" w:space="0" w:color="auto"/>
            </w:tcBorders>
            <w:shd w:val="clear" w:color="auto" w:fill="FFFFFF"/>
            <w:vAlign w:val="center"/>
          </w:tcPr>
          <w:p w14:paraId="126C629F" w14:textId="07F89A99" w:rsidR="00204CDF" w:rsidRPr="00204CDF" w:rsidRDefault="00204CDF" w:rsidP="008C3317">
            <w:pPr>
              <w:pStyle w:val="11"/>
              <w:tabs>
                <w:tab w:val="left" w:pos="681"/>
              </w:tabs>
              <w:ind w:left="128" w:firstLine="0"/>
              <w:rPr>
                <w:rFonts w:ascii="PT Astra Sans" w:hAnsi="PT Astra Sans"/>
              </w:rPr>
            </w:pPr>
            <w:r w:rsidRPr="00204CDF">
              <w:rPr>
                <w:rFonts w:ascii="PT Astra Sans" w:hAnsi="PT Astra Sans"/>
              </w:rPr>
              <w:t>Государственные</w:t>
            </w:r>
            <w:r w:rsidR="008C3317">
              <w:rPr>
                <w:rFonts w:ascii="PT Astra Sans" w:hAnsi="PT Astra Sans"/>
              </w:rPr>
              <w:t xml:space="preserve"> </w:t>
            </w:r>
            <w:r w:rsidRPr="00204CDF">
              <w:rPr>
                <w:rFonts w:ascii="PT Astra Sans" w:hAnsi="PT Astra Sans"/>
              </w:rPr>
              <w:t>облигации</w:t>
            </w:r>
            <w:r w:rsidR="008C3317">
              <w:rPr>
                <w:rFonts w:ascii="PT Astra Sans" w:hAnsi="PT Astra Sans"/>
              </w:rPr>
              <w:t xml:space="preserve"> </w:t>
            </w:r>
            <w:r w:rsidRPr="00204CDF">
              <w:rPr>
                <w:rFonts w:ascii="PT Astra Sans" w:hAnsi="PT Astra Sans"/>
              </w:rPr>
              <w:t>выпускаются</w:t>
            </w:r>
            <w:r w:rsidR="008C3317">
              <w:rPr>
                <w:rFonts w:ascii="PT Astra Sans" w:hAnsi="PT Astra Sans"/>
              </w:rPr>
              <w:t xml:space="preserve"> </w:t>
            </w:r>
            <w:r w:rsidRPr="00204CDF">
              <w:rPr>
                <w:rFonts w:ascii="PT Astra Sans" w:hAnsi="PT Astra Sans"/>
              </w:rPr>
              <w:t>государством,</w:t>
            </w:r>
            <w:r w:rsidR="008C3317">
              <w:rPr>
                <w:rFonts w:ascii="PT Astra Sans" w:hAnsi="PT Astra Sans"/>
              </w:rPr>
              <w:t xml:space="preserve"> </w:t>
            </w:r>
            <w:r w:rsidRPr="00204CDF">
              <w:rPr>
                <w:rFonts w:ascii="PT Astra Sans" w:hAnsi="PT Astra Sans"/>
              </w:rPr>
              <w:t>муниципальные - органами местной власти, ипотечные - ипотечными банками.</w:t>
            </w:r>
            <w:r w:rsidR="008C3317">
              <w:rPr>
                <w:rFonts w:ascii="PT Astra Sans" w:hAnsi="PT Astra Sans"/>
              </w:rPr>
              <w:t xml:space="preserve"> </w:t>
            </w:r>
            <w:r w:rsidRPr="00204CDF">
              <w:rPr>
                <w:rFonts w:ascii="PT Astra Sans" w:hAnsi="PT Astra Sans"/>
              </w:rPr>
              <w:t>Эти</w:t>
            </w:r>
            <w:r w:rsidR="008C3317">
              <w:rPr>
                <w:rFonts w:ascii="PT Astra Sans" w:hAnsi="PT Astra Sans"/>
              </w:rPr>
              <w:t xml:space="preserve"> </w:t>
            </w:r>
            <w:r w:rsidRPr="00204CDF">
              <w:rPr>
                <w:rFonts w:ascii="PT Astra Sans" w:hAnsi="PT Astra Sans"/>
              </w:rPr>
              <w:t>же</w:t>
            </w:r>
            <w:r w:rsidR="008C3317">
              <w:rPr>
                <w:rFonts w:ascii="PT Astra Sans" w:hAnsi="PT Astra Sans"/>
              </w:rPr>
              <w:t xml:space="preserve"> </w:t>
            </w:r>
            <w:r w:rsidRPr="00204CDF">
              <w:rPr>
                <w:rFonts w:ascii="PT Astra Sans" w:hAnsi="PT Astra Sans"/>
              </w:rPr>
              <w:t>организации</w:t>
            </w:r>
            <w:r w:rsidR="008C3317">
              <w:rPr>
                <w:rFonts w:ascii="PT Astra Sans" w:hAnsi="PT Astra Sans"/>
              </w:rPr>
              <w:t xml:space="preserve"> </w:t>
            </w:r>
            <w:r w:rsidRPr="00204CDF">
              <w:rPr>
                <w:rFonts w:ascii="PT Astra Sans" w:hAnsi="PT Astra Sans"/>
              </w:rPr>
              <w:t>гарантируют</w:t>
            </w:r>
            <w:r w:rsidR="008C3317">
              <w:rPr>
                <w:rFonts w:ascii="PT Astra Sans" w:hAnsi="PT Astra Sans"/>
              </w:rPr>
              <w:t xml:space="preserve"> </w:t>
            </w:r>
            <w:r w:rsidRPr="00204CDF">
              <w:rPr>
                <w:rFonts w:ascii="PT Astra Sans" w:hAnsi="PT Astra Sans"/>
              </w:rPr>
              <w:t>выплату</w:t>
            </w:r>
            <w:r w:rsidR="008C3317">
              <w:rPr>
                <w:rFonts w:ascii="PT Astra Sans" w:hAnsi="PT Astra Sans"/>
              </w:rPr>
              <w:t xml:space="preserve"> </w:t>
            </w:r>
            <w:r w:rsidRPr="00204CDF">
              <w:rPr>
                <w:rFonts w:ascii="PT Astra Sans" w:hAnsi="PT Astra Sans"/>
              </w:rPr>
              <w:t>фиксированного дохода (купона)</w:t>
            </w:r>
          </w:p>
        </w:tc>
      </w:tr>
    </w:tbl>
    <w:p w14:paraId="7DEEC649" w14:textId="77777777" w:rsidR="00204CDF" w:rsidRPr="00204CDF" w:rsidRDefault="00204CDF" w:rsidP="00204CDF">
      <w:pPr>
        <w:pStyle w:val="11"/>
        <w:tabs>
          <w:tab w:val="left" w:pos="681"/>
        </w:tabs>
        <w:spacing w:line="353" w:lineRule="auto"/>
        <w:ind w:firstLine="709"/>
        <w:jc w:val="both"/>
        <w:rPr>
          <w:rFonts w:ascii="PT Astra Sans" w:hAnsi="PT Astra Sans"/>
        </w:rPr>
      </w:pPr>
    </w:p>
    <w:p w14:paraId="60A6ED9C" w14:textId="72C0F0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 xml:space="preserve">Различают первичный и вторичный рынки ценных бумаг. На первичном рынке </w:t>
      </w:r>
      <w:r w:rsidRPr="00204CDF">
        <w:rPr>
          <w:rFonts w:ascii="PT Astra Sans" w:hAnsi="PT Astra Sans"/>
        </w:rPr>
        <w:lastRenderedPageBreak/>
        <w:t>происходит продажа новых бумаг сразу после их выпуска (эмиссии). На</w:t>
      </w:r>
      <w:r w:rsidR="00FE73AA">
        <w:rPr>
          <w:rFonts w:ascii="PT Astra Sans" w:hAnsi="PT Astra Sans"/>
        </w:rPr>
        <w:t xml:space="preserve"> </w:t>
      </w:r>
      <w:r w:rsidRPr="00204CDF">
        <w:rPr>
          <w:rFonts w:ascii="PT Astra Sans" w:hAnsi="PT Astra Sans"/>
        </w:rPr>
        <w:t>этом рынке работают коммерческие и инвестиционные банки, которые выполняют эмиссию акций и облигаций по доверенности своих клиентов. Вторичный рынок, на котором происходит перепродажа ранее выпущенных акций и облигаций, обслуживается фондовой биржей.</w:t>
      </w:r>
    </w:p>
    <w:p w14:paraId="7EF65707"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Акции и облигации имеют неодинаковую привлекательность для инвесторов. Облигации, как правило, обеспечивают большую сохранность сбережений, чем акции, и потому более привлекательны для консервативных инвесторов. Однако акции предоставляют их держателю возможность умножения своего капитала и быстрого наращивания дохода. Вместе с тем, обладание акциями может повлечь и финансовые потери, поэтому акции подойдут инвесторам, готовым принять риск (допускающим возможность потери значительной доли инвестированных средств) ради получения более высокого дохода.</w:t>
      </w:r>
    </w:p>
    <w:p w14:paraId="4B75B42F"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На фондовом рынке, который является частью финансового рынка, проводятся операции в основном с такими ценными бумагами, как акции и облигации (долевые и долговые бумаги). Эти операции осуществляют Московская Биржа и Национальный расчетный депозитарий, и именно они отвечают перед участниками рынка за бесперебойную торговлю ценными бумагами, расчеты по сделкам и хранение ценных бумаг.</w:t>
      </w:r>
    </w:p>
    <w:p w14:paraId="7D8E46A9" w14:textId="646B74FC" w:rsidR="00204CDF" w:rsidRPr="00204CDF" w:rsidRDefault="00204CDF" w:rsidP="00197FE0">
      <w:pPr>
        <w:pStyle w:val="2"/>
      </w:pPr>
      <w:r w:rsidRPr="00204CDF">
        <w:t>Акционерное общество, акция, права акционеров</w:t>
      </w:r>
    </w:p>
    <w:p w14:paraId="5639CE8F"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 xml:space="preserve">Финансирование деятельности предприятий происходит за счет средств предпринимателей, которые рискуют ими, чтобы получить прибыль. Для расширения предприятий предприниматели могут привлекать дополнительные средства от инвесторов, т.е. любых граждан или организаций, которые имеют свободные денежные средства и готовы разделить с предпринимателями рыночные риски. </w:t>
      </w:r>
      <w:r w:rsidRPr="00234E39">
        <w:rPr>
          <w:rFonts w:ascii="PT Astra Sans" w:hAnsi="PT Astra Sans"/>
          <w:b/>
          <w:bCs/>
        </w:rPr>
        <w:t>Акция</w:t>
      </w:r>
      <w:r w:rsidRPr="00204CDF">
        <w:rPr>
          <w:rFonts w:ascii="PT Astra Sans" w:hAnsi="PT Astra Sans"/>
        </w:rPr>
        <w:t xml:space="preserve"> - ценная бумага, которая подтверждает права определенного лица (акционера) на получение части прибыли предприятия и участие в управлении им.</w:t>
      </w:r>
    </w:p>
    <w:p w14:paraId="02B625E2" w14:textId="27C82BF9" w:rsidR="00204CDF" w:rsidRPr="00204CDF" w:rsidRDefault="00204CDF" w:rsidP="0084498D">
      <w:pPr>
        <w:pStyle w:val="11"/>
        <w:tabs>
          <w:tab w:val="left" w:pos="681"/>
        </w:tabs>
        <w:spacing w:line="353" w:lineRule="auto"/>
        <w:ind w:firstLine="709"/>
        <w:jc w:val="both"/>
        <w:rPr>
          <w:rFonts w:ascii="PT Astra Sans" w:hAnsi="PT Astra Sans"/>
        </w:rPr>
      </w:pPr>
      <w:r w:rsidRPr="00204CDF">
        <w:rPr>
          <w:rFonts w:ascii="PT Astra Sans" w:hAnsi="PT Astra Sans"/>
        </w:rPr>
        <w:t xml:space="preserve">Предприятие, уставный капитал которого образован путем размещения его акций среди инвесторов, называется </w:t>
      </w:r>
      <w:r w:rsidRPr="00234E39">
        <w:rPr>
          <w:rFonts w:ascii="PT Astra Sans" w:hAnsi="PT Astra Sans"/>
          <w:b/>
          <w:bCs/>
        </w:rPr>
        <w:t>акционерным обществом</w:t>
      </w:r>
      <w:r w:rsidRPr="00204CDF">
        <w:rPr>
          <w:rFonts w:ascii="PT Astra Sans" w:hAnsi="PT Astra Sans"/>
        </w:rPr>
        <w:t xml:space="preserve">. Все стратегические решения о развитии общества принимаются с учетом мнения каждого акционера, которое </w:t>
      </w:r>
      <w:r w:rsidRPr="00204CDF">
        <w:rPr>
          <w:rFonts w:ascii="PT Astra Sans" w:hAnsi="PT Astra Sans"/>
        </w:rPr>
        <w:lastRenderedPageBreak/>
        <w:t xml:space="preserve">учитывается посредством процедуры тайного голосования по вопросам повестки дня общего собрания акционеров. Принцип голосования: одна акция </w:t>
      </w:r>
      <w:r w:rsidR="0084498D">
        <w:rPr>
          <w:rFonts w:ascii="PT Astra Sans" w:hAnsi="PT Astra Sans"/>
        </w:rPr>
        <w:t>–</w:t>
      </w:r>
      <w:r w:rsidRPr="00204CDF">
        <w:rPr>
          <w:rFonts w:ascii="PT Astra Sans" w:hAnsi="PT Astra Sans"/>
        </w:rPr>
        <w:t xml:space="preserve"> один голос.</w:t>
      </w:r>
    </w:p>
    <w:p w14:paraId="20D81217" w14:textId="21F32B20" w:rsidR="00204CDF" w:rsidRPr="00204CDF" w:rsidRDefault="00331BF9" w:rsidP="00204CDF">
      <w:pPr>
        <w:pStyle w:val="11"/>
        <w:tabs>
          <w:tab w:val="left" w:pos="681"/>
        </w:tabs>
        <w:spacing w:line="353" w:lineRule="auto"/>
        <w:ind w:firstLine="709"/>
        <w:jc w:val="both"/>
        <w:rPr>
          <w:rFonts w:ascii="PT Astra Sans" w:hAnsi="PT Astra Sans"/>
        </w:rPr>
      </w:pPr>
      <w:r w:rsidRPr="00204CDF">
        <w:rPr>
          <w:rFonts w:ascii="PT Astra Sans" w:hAnsi="PT Astra Sans"/>
        </w:rPr>
        <w:t>Основные этапы процедуры выпуска (эмиссии) акций,</w:t>
      </w:r>
      <w:r w:rsidR="00204CDF" w:rsidRPr="00204CDF">
        <w:rPr>
          <w:rFonts w:ascii="PT Astra Sans" w:hAnsi="PT Astra Sans"/>
        </w:rPr>
        <w:t xml:space="preserve"> следующие:</w:t>
      </w:r>
    </w:p>
    <w:p w14:paraId="1C3ABEAC" w14:textId="77777777" w:rsidR="00204CDF" w:rsidRPr="00204CDF" w:rsidRDefault="00204CDF" w:rsidP="00331BF9">
      <w:pPr>
        <w:pStyle w:val="11"/>
        <w:numPr>
          <w:ilvl w:val="0"/>
          <w:numId w:val="17"/>
        </w:numPr>
        <w:tabs>
          <w:tab w:val="left" w:pos="709"/>
        </w:tabs>
        <w:spacing w:line="353" w:lineRule="auto"/>
        <w:jc w:val="both"/>
        <w:rPr>
          <w:rFonts w:ascii="PT Astra Sans" w:hAnsi="PT Astra Sans"/>
        </w:rPr>
      </w:pPr>
      <w:bookmarkStart w:id="3" w:name="bookmark437"/>
      <w:bookmarkEnd w:id="3"/>
      <w:r w:rsidRPr="00204CDF">
        <w:rPr>
          <w:rFonts w:ascii="PT Astra Sans" w:hAnsi="PT Astra Sans"/>
        </w:rPr>
        <w:t>общее собрание акционеров или совет директоров принимают решение о размещении акций;</w:t>
      </w:r>
    </w:p>
    <w:p w14:paraId="14B18D73" w14:textId="77777777" w:rsidR="00204CDF" w:rsidRPr="00204CDF" w:rsidRDefault="00204CDF" w:rsidP="00331BF9">
      <w:pPr>
        <w:pStyle w:val="11"/>
        <w:numPr>
          <w:ilvl w:val="0"/>
          <w:numId w:val="17"/>
        </w:numPr>
        <w:tabs>
          <w:tab w:val="left" w:pos="709"/>
        </w:tabs>
        <w:spacing w:line="353" w:lineRule="auto"/>
        <w:jc w:val="both"/>
        <w:rPr>
          <w:rFonts w:ascii="PT Astra Sans" w:hAnsi="PT Astra Sans"/>
        </w:rPr>
      </w:pPr>
      <w:bookmarkStart w:id="4" w:name="bookmark438"/>
      <w:bookmarkEnd w:id="4"/>
      <w:r w:rsidRPr="00204CDF">
        <w:rPr>
          <w:rFonts w:ascii="PT Astra Sans" w:hAnsi="PT Astra Sans"/>
        </w:rPr>
        <w:t>на основании данного решения совет директоров утверждает документ, содержащий информацию о размещаемых акциях, правах акционеров, условиях и порядке размещения акций - «Решение о выпуске акций»;</w:t>
      </w:r>
    </w:p>
    <w:p w14:paraId="7A8C3AC2" w14:textId="77777777" w:rsidR="00204CDF" w:rsidRPr="00204CDF" w:rsidRDefault="00204CDF" w:rsidP="00331BF9">
      <w:pPr>
        <w:pStyle w:val="11"/>
        <w:numPr>
          <w:ilvl w:val="0"/>
          <w:numId w:val="17"/>
        </w:numPr>
        <w:tabs>
          <w:tab w:val="left" w:pos="709"/>
        </w:tabs>
        <w:spacing w:line="353" w:lineRule="auto"/>
        <w:jc w:val="both"/>
        <w:rPr>
          <w:rFonts w:ascii="PT Astra Sans" w:hAnsi="PT Astra Sans"/>
        </w:rPr>
      </w:pPr>
      <w:bookmarkStart w:id="5" w:name="bookmark439"/>
      <w:bookmarkEnd w:id="5"/>
      <w:r w:rsidRPr="00204CDF">
        <w:rPr>
          <w:rFonts w:ascii="PT Astra Sans" w:hAnsi="PT Astra Sans"/>
        </w:rPr>
        <w:t>эмиссионные ценные бумаги (акции) проходят обязательную процедуру - государственную регистрацию выпуска ценных бумаг в Банке России.</w:t>
      </w:r>
    </w:p>
    <w:p w14:paraId="70B71757"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Акции подразделяются на обыкновенные и привилегированные.</w:t>
      </w:r>
    </w:p>
    <w:p w14:paraId="3B074FFA"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CC73F7">
        <w:rPr>
          <w:rFonts w:ascii="PT Astra Sans" w:hAnsi="PT Astra Sans"/>
          <w:b/>
          <w:bCs/>
        </w:rPr>
        <w:t>Обыкновенные акции</w:t>
      </w:r>
      <w:r w:rsidRPr="00204CDF">
        <w:rPr>
          <w:rFonts w:ascii="PT Astra Sans" w:hAnsi="PT Astra Sans"/>
        </w:rPr>
        <w:t xml:space="preserve"> дают право голоса на общем собрании акционеров. Владельцы обыкновенных акций участвуют в распределении прибыли общества только после пополнения резервов и выплаты дивидендов по привилегированным акциям. Поэтому выплата дивидендов по обыкновенным акциям не гарантируется, т.к. зависит от итогов производственной деятельности и суммы полученной прибыли. При ликвидации обыкновенная акция дает акционеру право на часть имущества ликвидируемого общества после расчетов с кредиторами и владельцами привилегированных акций.</w:t>
      </w:r>
    </w:p>
    <w:p w14:paraId="22940EE7"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CC73F7">
        <w:rPr>
          <w:rFonts w:ascii="PT Astra Sans" w:hAnsi="PT Astra Sans"/>
          <w:b/>
          <w:bCs/>
        </w:rPr>
        <w:t>Привилегированные акции</w:t>
      </w:r>
      <w:r w:rsidRPr="00204CDF">
        <w:rPr>
          <w:rFonts w:ascii="PT Astra Sans" w:hAnsi="PT Astra Sans"/>
        </w:rPr>
        <w:t xml:space="preserve"> дают их владельцам право на первоочередное получение дивидендов по фиксированной ставке вне зависимости от размера прибыли, полученной акционерным обществом за отчетный период. Владельцы привилегированных акций обладают также преимущественным правом на получение доли имущества ликвидируемого акционерного общества. При этом владельцы привилегированных акций, как правило, ограничены в участии в управлении акционерным обществом.</w:t>
      </w:r>
    </w:p>
    <w:p w14:paraId="250C68AB"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CC73F7">
        <w:rPr>
          <w:rFonts w:ascii="PT Astra Sans" w:hAnsi="PT Astra Sans"/>
          <w:b/>
          <w:bCs/>
        </w:rPr>
        <w:t>Номинальная стоимость</w:t>
      </w:r>
      <w:r w:rsidRPr="00204CDF">
        <w:rPr>
          <w:rFonts w:ascii="PT Astra Sans" w:hAnsi="PT Astra Sans"/>
        </w:rPr>
        <w:t xml:space="preserve"> акции определяется путем деления суммы уставного капитала акционерного общества на количество выпускаемых акций. По номинальной стоимости акции оплачиваются при учреждении общества. Номинальная стоимость акции является основой для определения эмиссионной и рыночной стоимости (т.е. ее </w:t>
      </w:r>
      <w:r w:rsidRPr="00204CDF">
        <w:rPr>
          <w:rFonts w:ascii="PT Astra Sans" w:hAnsi="PT Astra Sans"/>
        </w:rPr>
        <w:lastRenderedPageBreak/>
        <w:t>цене на фондовой бирже и на внебиржевом рынке), а также исчисления дивидендов. Рыночная стоимость зависит от соотношения спроса и предложения, что, в свою очередь, определяется размером получаемых по акции дивидендов, биржевой конъюнктурой, влиянием рекламы и многими другими факторами.</w:t>
      </w:r>
    </w:p>
    <w:p w14:paraId="68183D2A"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С целью защиты прав инвесторов и предоставления нынешним и потенциальным инвесторам информации для принятия инвестиционных решений существует особый порядок раскрытия информации о публичных акционерных обществах. Наиболее существенными для инвестора являются такие обязательные для раскрытия публичными акционерными обществами документы, как годовой отчет, ежеквартальный отчет, годовая финансовая отчетность.</w:t>
      </w:r>
    </w:p>
    <w:p w14:paraId="04EF5452" w14:textId="2DD68514" w:rsidR="00204CDF" w:rsidRPr="00204CDF" w:rsidRDefault="00204CDF" w:rsidP="00CC73F7">
      <w:pPr>
        <w:pStyle w:val="2"/>
      </w:pPr>
      <w:r w:rsidRPr="00CC73F7">
        <w:t>Откуда берутся акции</w:t>
      </w:r>
      <w:r w:rsidR="00CC73F7">
        <w:t>?</w:t>
      </w:r>
    </w:p>
    <w:p w14:paraId="6C827C04" w14:textId="051D739D" w:rsidR="00204CDF" w:rsidRPr="00A27D20" w:rsidRDefault="00204CDF" w:rsidP="00204CDF">
      <w:pPr>
        <w:pStyle w:val="11"/>
        <w:tabs>
          <w:tab w:val="left" w:pos="681"/>
        </w:tabs>
        <w:spacing w:line="353" w:lineRule="auto"/>
        <w:ind w:firstLine="709"/>
        <w:jc w:val="both"/>
        <w:rPr>
          <w:rFonts w:ascii="PT Astra Sans" w:hAnsi="PT Astra Sans"/>
          <w:b/>
          <w:bCs/>
        </w:rPr>
      </w:pPr>
      <w:r w:rsidRPr="00A27D20">
        <w:rPr>
          <w:rFonts w:ascii="PT Astra Sans" w:hAnsi="PT Astra Sans"/>
        </w:rPr>
        <w:t>На фондовом рынке акции появляются в результате процедуры, называемой</w:t>
      </w:r>
      <w:r w:rsidRPr="00A27D20">
        <w:rPr>
          <w:rFonts w:ascii="PT Astra Sans" w:hAnsi="PT Astra Sans"/>
          <w:b/>
          <w:bCs/>
        </w:rPr>
        <w:t xml:space="preserve"> первичным размещением.</w:t>
      </w:r>
    </w:p>
    <w:p w14:paraId="64DCA86D"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Первичное размещение акций (IPO-initial public offering) предполагает выпуск компанией определенного числа акций по номинальной цене с целью привлечения компанией средств на развитие.</w:t>
      </w:r>
    </w:p>
    <w:p w14:paraId="00364AEC" w14:textId="77777777" w:rsidR="00204CDF" w:rsidRPr="00204CDF" w:rsidRDefault="00204CDF" w:rsidP="00204CDF">
      <w:pPr>
        <w:pStyle w:val="11"/>
        <w:tabs>
          <w:tab w:val="left" w:pos="681"/>
        </w:tabs>
        <w:spacing w:line="353" w:lineRule="auto"/>
        <w:ind w:firstLine="709"/>
        <w:jc w:val="both"/>
        <w:rPr>
          <w:rFonts w:ascii="PT Astra Sans" w:hAnsi="PT Astra Sans"/>
        </w:rPr>
      </w:pPr>
      <w:r w:rsidRPr="00204CDF">
        <w:rPr>
          <w:rFonts w:ascii="PT Astra Sans" w:hAnsi="PT Astra Sans"/>
        </w:rPr>
        <w:t>Например: металлургическая компания выпускает миллион акций номиналом 1000 руб., чтобы построить новый завод. Покупатели акций станут совладельцами предприятия и в зависимости от успеха его бизнеса получат дивиденды.</w:t>
      </w:r>
    </w:p>
    <w:p w14:paraId="3DE4F3BC"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6" w:name="bookmark441"/>
      <w:bookmarkEnd w:id="6"/>
      <w:r w:rsidRPr="00204CDF">
        <w:rPr>
          <w:rFonts w:ascii="PT Astra Sans" w:hAnsi="PT Astra Sans"/>
        </w:rPr>
        <w:t xml:space="preserve">Достаточно распространен выпуск акций с функцией </w:t>
      </w:r>
      <w:r w:rsidRPr="00A27D20">
        <w:rPr>
          <w:rFonts w:ascii="PT Astra Sans" w:hAnsi="PT Astra Sans"/>
          <w:b/>
          <w:bCs/>
        </w:rPr>
        <w:t>обратного выкупа предприятием</w:t>
      </w:r>
      <w:r w:rsidRPr="00204CDF">
        <w:rPr>
          <w:rFonts w:ascii="PT Astra Sans" w:hAnsi="PT Astra Sans"/>
        </w:rPr>
        <w:t>. Обратный выкуп сопровождается выплатой премии покупателю.</w:t>
      </w:r>
    </w:p>
    <w:p w14:paraId="13674F63"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7" w:name="bookmark442"/>
      <w:bookmarkEnd w:id="7"/>
      <w:r w:rsidRPr="00204CDF">
        <w:rPr>
          <w:rFonts w:ascii="PT Astra Sans" w:hAnsi="PT Astra Sans"/>
        </w:rPr>
        <w:t xml:space="preserve">К </w:t>
      </w:r>
      <w:r w:rsidRPr="00AB0A46">
        <w:rPr>
          <w:rFonts w:ascii="PT Astra Sans" w:hAnsi="PT Astra Sans"/>
          <w:b/>
          <w:bCs/>
        </w:rPr>
        <w:t>IPO</w:t>
      </w:r>
      <w:r w:rsidRPr="00204CDF">
        <w:rPr>
          <w:rFonts w:ascii="PT Astra Sans" w:hAnsi="PT Astra Sans"/>
        </w:rPr>
        <w:t xml:space="preserve"> также прибегают небольшие развивающиеся компании, заинтересованные в привлечении капитала.</w:t>
      </w:r>
    </w:p>
    <w:p w14:paraId="7D5D53E4"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8" w:name="bookmark443"/>
      <w:bookmarkEnd w:id="8"/>
      <w:r w:rsidRPr="00204CDF">
        <w:rPr>
          <w:rFonts w:ascii="PT Astra Sans" w:hAnsi="PT Astra Sans"/>
        </w:rPr>
        <w:t xml:space="preserve">Иногда встречаются случаи, когда крупные частные компании используют IPO для трансформации в </w:t>
      </w:r>
      <w:r w:rsidRPr="00AB0A46">
        <w:rPr>
          <w:rFonts w:ascii="PT Astra Sans" w:hAnsi="PT Astra Sans"/>
          <w:b/>
          <w:bCs/>
        </w:rPr>
        <w:t>публичную компанию</w:t>
      </w:r>
      <w:r w:rsidRPr="00204CDF">
        <w:rPr>
          <w:rFonts w:ascii="PT Astra Sans" w:hAnsi="PT Astra Sans"/>
        </w:rPr>
        <w:t>.</w:t>
      </w:r>
    </w:p>
    <w:p w14:paraId="0068443F"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9" w:name="bookmark444"/>
      <w:bookmarkStart w:id="10" w:name="bookmark445"/>
      <w:bookmarkStart w:id="11" w:name="bookmark446"/>
      <w:r w:rsidRPr="00204CDF">
        <w:rPr>
          <w:rFonts w:ascii="PT Astra Sans" w:hAnsi="PT Astra Sans"/>
        </w:rPr>
        <w:t>Важно знать:</w:t>
      </w:r>
      <w:bookmarkEnd w:id="9"/>
      <w:bookmarkEnd w:id="10"/>
      <w:bookmarkEnd w:id="11"/>
    </w:p>
    <w:p w14:paraId="3B0EE673" w14:textId="4A26318B" w:rsidR="00204CDF" w:rsidRPr="00204CDF" w:rsidRDefault="00204CDF" w:rsidP="00AB0A46">
      <w:pPr>
        <w:pStyle w:val="11"/>
        <w:numPr>
          <w:ilvl w:val="0"/>
          <w:numId w:val="17"/>
        </w:numPr>
        <w:tabs>
          <w:tab w:val="left" w:pos="709"/>
        </w:tabs>
        <w:spacing w:line="353" w:lineRule="auto"/>
        <w:jc w:val="both"/>
        <w:rPr>
          <w:rFonts w:ascii="PT Astra Sans" w:hAnsi="PT Astra Sans"/>
        </w:rPr>
      </w:pPr>
      <w:r w:rsidRPr="00204CDF">
        <w:rPr>
          <w:rFonts w:ascii="PT Astra Sans" w:hAnsi="PT Astra Sans"/>
        </w:rPr>
        <w:t>динамика стоимости акций на фондовом рынке - индикатор успешности компании;</w:t>
      </w:r>
    </w:p>
    <w:p w14:paraId="45ABA125"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2" w:name="bookmark447"/>
      <w:bookmarkEnd w:id="12"/>
      <w:r w:rsidRPr="00204CDF">
        <w:rPr>
          <w:rFonts w:ascii="PT Astra Sans" w:hAnsi="PT Astra Sans"/>
        </w:rPr>
        <w:t>после размещения акций (IPO) цена на них определяется рынком;</w:t>
      </w:r>
    </w:p>
    <w:p w14:paraId="6451E8B9"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3" w:name="bookmark448"/>
      <w:bookmarkEnd w:id="13"/>
      <w:r w:rsidRPr="00204CDF">
        <w:rPr>
          <w:rFonts w:ascii="PT Astra Sans" w:hAnsi="PT Astra Sans"/>
        </w:rPr>
        <w:t xml:space="preserve">акции, только что прошедшие публичное размещение, непредсказуемы в </w:t>
      </w:r>
      <w:r w:rsidRPr="00204CDF">
        <w:rPr>
          <w:rFonts w:ascii="PT Astra Sans" w:hAnsi="PT Astra Sans"/>
        </w:rPr>
        <w:lastRenderedPageBreak/>
        <w:t>отношении поведения их цены в день IPO и в будущем, т.к. обычно мало информации о компании, ее результатах и показателях в прошлом;</w:t>
      </w:r>
    </w:p>
    <w:p w14:paraId="3559EAB5"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4" w:name="bookmark449"/>
      <w:bookmarkEnd w:id="14"/>
      <w:r w:rsidRPr="00204CDF">
        <w:rPr>
          <w:rFonts w:ascii="PT Astra Sans" w:hAnsi="PT Astra Sans"/>
        </w:rPr>
        <w:t>на курс акций влияет успех деятельности предприятия, экономические и политические факторы, которые в совокупности определяют спрос на ценные бумаги со стороны инвесторов;</w:t>
      </w:r>
    </w:p>
    <w:p w14:paraId="558DF200"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5" w:name="bookmark450"/>
      <w:bookmarkEnd w:id="15"/>
      <w:r w:rsidRPr="00204CDF">
        <w:rPr>
          <w:rFonts w:ascii="PT Astra Sans" w:hAnsi="PT Astra Sans"/>
        </w:rPr>
        <w:t>акции относятся к активам с высоким уровнем риска, которые, однако, могут принести высокую доходность;</w:t>
      </w:r>
    </w:p>
    <w:p w14:paraId="4189D872"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6" w:name="bookmark451"/>
      <w:bookmarkEnd w:id="16"/>
      <w:r w:rsidRPr="00204CDF">
        <w:rPr>
          <w:rFonts w:ascii="PT Astra Sans" w:hAnsi="PT Astra Sans"/>
        </w:rPr>
        <w:t>как привило, риск и доходность взаимосвязаны, т.е. чем выше доходность, тем выше риск, и наоборот;</w:t>
      </w:r>
    </w:p>
    <w:p w14:paraId="60415D36" w14:textId="77777777" w:rsidR="00204CDF" w:rsidRPr="00204CDF" w:rsidRDefault="00204CDF" w:rsidP="00AB0A46">
      <w:pPr>
        <w:pStyle w:val="11"/>
        <w:numPr>
          <w:ilvl w:val="0"/>
          <w:numId w:val="17"/>
        </w:numPr>
        <w:tabs>
          <w:tab w:val="left" w:pos="709"/>
        </w:tabs>
        <w:spacing w:line="353" w:lineRule="auto"/>
        <w:jc w:val="both"/>
        <w:rPr>
          <w:rFonts w:ascii="PT Astra Sans" w:hAnsi="PT Astra Sans"/>
        </w:rPr>
      </w:pPr>
      <w:bookmarkStart w:id="17" w:name="bookmark452"/>
      <w:bookmarkEnd w:id="17"/>
      <w:r w:rsidRPr="00204CDF">
        <w:rPr>
          <w:rFonts w:ascii="PT Astra Sans" w:hAnsi="PT Astra Sans"/>
        </w:rPr>
        <w:t>доход от владения акцией определяется приростом ее курсовой стоимости в сумме с количеством выплаченных дивидендов.</w:t>
      </w:r>
    </w:p>
    <w:p w14:paraId="46A1CB9D" w14:textId="77777777" w:rsidR="00204CDF" w:rsidRPr="00F8311C" w:rsidRDefault="00204CDF" w:rsidP="00204CDF">
      <w:pPr>
        <w:pStyle w:val="11"/>
        <w:tabs>
          <w:tab w:val="left" w:pos="681"/>
        </w:tabs>
        <w:spacing w:line="353" w:lineRule="auto"/>
        <w:ind w:firstLine="709"/>
        <w:jc w:val="both"/>
        <w:rPr>
          <w:rFonts w:ascii="PT Astra Sans" w:hAnsi="PT Astra Sans"/>
          <w:b/>
          <w:bCs/>
        </w:rPr>
      </w:pPr>
      <w:r w:rsidRPr="00F8311C">
        <w:rPr>
          <w:rFonts w:ascii="PT Astra Sans" w:hAnsi="PT Astra Sans"/>
          <w:b/>
          <w:bCs/>
        </w:rPr>
        <w:t>Индексы акций:</w:t>
      </w:r>
    </w:p>
    <w:p w14:paraId="480D2E8F" w14:textId="77777777" w:rsidR="00204CDF" w:rsidRPr="00204CDF" w:rsidRDefault="00204CDF" w:rsidP="00F8311C">
      <w:pPr>
        <w:pStyle w:val="11"/>
        <w:numPr>
          <w:ilvl w:val="0"/>
          <w:numId w:val="17"/>
        </w:numPr>
        <w:tabs>
          <w:tab w:val="left" w:pos="709"/>
        </w:tabs>
        <w:spacing w:line="353" w:lineRule="auto"/>
        <w:jc w:val="both"/>
        <w:rPr>
          <w:rFonts w:ascii="PT Astra Sans" w:hAnsi="PT Astra Sans"/>
        </w:rPr>
      </w:pPr>
      <w:bookmarkStart w:id="18" w:name="bookmark453"/>
      <w:bookmarkEnd w:id="18"/>
      <w:r w:rsidRPr="00204CDF">
        <w:rPr>
          <w:rFonts w:ascii="PT Astra Sans" w:hAnsi="PT Astra Sans"/>
        </w:rPr>
        <w:t>в качестве показателей динамики рынка используют индексы, обобщающие данные котировок разных акций различных секторов экономики;</w:t>
      </w:r>
    </w:p>
    <w:p w14:paraId="3CC00CB3" w14:textId="77777777" w:rsidR="00204CDF" w:rsidRPr="00204CDF" w:rsidRDefault="00204CDF" w:rsidP="00F8311C">
      <w:pPr>
        <w:pStyle w:val="11"/>
        <w:numPr>
          <w:ilvl w:val="0"/>
          <w:numId w:val="17"/>
        </w:numPr>
        <w:tabs>
          <w:tab w:val="left" w:pos="709"/>
        </w:tabs>
        <w:spacing w:line="353" w:lineRule="auto"/>
        <w:jc w:val="both"/>
        <w:rPr>
          <w:rFonts w:ascii="PT Astra Sans" w:hAnsi="PT Astra Sans"/>
        </w:rPr>
      </w:pPr>
      <w:bookmarkStart w:id="19" w:name="bookmark454"/>
      <w:bookmarkEnd w:id="19"/>
      <w:r w:rsidRPr="00204CDF">
        <w:rPr>
          <w:rFonts w:ascii="PT Astra Sans" w:hAnsi="PT Astra Sans"/>
        </w:rPr>
        <w:t>в России - два основных фондовых индекса акций: Индекс МосБиржи и Индекс РТС. Оба охватывают 50 крупнейших компаний-эмитентов Российской Федерации, но Индекс МосБиржи рассчитывается в рублях, а Индекс РТС - в долларах;</w:t>
      </w:r>
    </w:p>
    <w:p w14:paraId="2EB40652" w14:textId="77777777" w:rsidR="00204CDF" w:rsidRPr="00204CDF" w:rsidRDefault="00204CDF" w:rsidP="00F8311C">
      <w:pPr>
        <w:pStyle w:val="11"/>
        <w:numPr>
          <w:ilvl w:val="0"/>
          <w:numId w:val="17"/>
        </w:numPr>
        <w:tabs>
          <w:tab w:val="left" w:pos="709"/>
        </w:tabs>
        <w:spacing w:line="353" w:lineRule="auto"/>
        <w:jc w:val="both"/>
        <w:rPr>
          <w:rFonts w:ascii="PT Astra Sans" w:hAnsi="PT Astra Sans"/>
        </w:rPr>
      </w:pPr>
      <w:bookmarkStart w:id="20" w:name="bookmark455"/>
      <w:bookmarkEnd w:id="20"/>
      <w:r w:rsidRPr="00204CDF">
        <w:rPr>
          <w:rFonts w:ascii="PT Astra Sans" w:hAnsi="PT Astra Sans"/>
        </w:rPr>
        <w:t>аналогично устроены лондонский индекс FTSE, американские DowJones, S&amp;P, Nasdaq и др. Все они включают в себя определенное количество (разное для каждого индекса) акций основных компаний той биржи, к которой они относятся;</w:t>
      </w:r>
    </w:p>
    <w:p w14:paraId="4B6342B8" w14:textId="77777777" w:rsidR="00204CDF" w:rsidRPr="00204CDF" w:rsidRDefault="00204CDF" w:rsidP="00F8311C">
      <w:pPr>
        <w:pStyle w:val="11"/>
        <w:numPr>
          <w:ilvl w:val="0"/>
          <w:numId w:val="17"/>
        </w:numPr>
        <w:tabs>
          <w:tab w:val="left" w:pos="709"/>
        </w:tabs>
        <w:spacing w:line="353" w:lineRule="auto"/>
        <w:jc w:val="both"/>
        <w:rPr>
          <w:rFonts w:ascii="PT Astra Sans" w:hAnsi="PT Astra Sans"/>
        </w:rPr>
      </w:pPr>
      <w:bookmarkStart w:id="21" w:name="bookmark456"/>
      <w:bookmarkEnd w:id="21"/>
      <w:r w:rsidRPr="00204CDF">
        <w:rPr>
          <w:rFonts w:ascii="PT Astra Sans" w:hAnsi="PT Astra Sans"/>
        </w:rPr>
        <w:t>в долгосрочной перспективе фондовые индексы обладают большей доходностью, чем многие профессиональные управляющие фонды. Следовательно, вложение в фондовый индекс является более безопасным и прибыльным чем поручение средств профессиональным фондам (например, ПИФ).</w:t>
      </w:r>
    </w:p>
    <w:p w14:paraId="3A0358E6" w14:textId="77777777" w:rsidR="00204CDF" w:rsidRPr="00204CDF" w:rsidRDefault="00204CDF" w:rsidP="00F8311C">
      <w:pPr>
        <w:pStyle w:val="2"/>
      </w:pPr>
      <w:r w:rsidRPr="00204CDF">
        <w:t>Как торговать акциями?</w:t>
      </w:r>
    </w:p>
    <w:p w14:paraId="2D76310B"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22" w:name="bookmark457"/>
      <w:bookmarkEnd w:id="22"/>
      <w:r w:rsidRPr="00204CDF">
        <w:rPr>
          <w:rFonts w:ascii="PT Astra Sans" w:hAnsi="PT Astra Sans"/>
        </w:rPr>
        <w:t>Для того чтобы продавать и покупать акции на бирже, нужно открыть брокерский счет или индивидуальный инвестиционный счет (ИИС). Это можно сделать практически в любом крупном банке или брокерской / управляющей компании. Также существуют компании, специализирующиеся на инвестициях в фондовый рынок.</w:t>
      </w:r>
    </w:p>
    <w:p w14:paraId="2A444365" w14:textId="77777777" w:rsidR="00204CDF" w:rsidRPr="00204CDF" w:rsidRDefault="00204CDF" w:rsidP="00204CDF">
      <w:pPr>
        <w:pStyle w:val="11"/>
        <w:tabs>
          <w:tab w:val="left" w:pos="681"/>
        </w:tabs>
        <w:spacing w:line="353" w:lineRule="auto"/>
        <w:ind w:firstLine="709"/>
        <w:jc w:val="both"/>
        <w:rPr>
          <w:rFonts w:ascii="PT Astra Sans" w:hAnsi="PT Astra Sans"/>
        </w:rPr>
      </w:pPr>
      <w:bookmarkStart w:id="23" w:name="bookmark458"/>
      <w:bookmarkEnd w:id="23"/>
      <w:r w:rsidRPr="00204CDF">
        <w:rPr>
          <w:rFonts w:ascii="PT Astra Sans" w:hAnsi="PT Astra Sans"/>
        </w:rPr>
        <w:lastRenderedPageBreak/>
        <w:t>На продажу акций брокеру, который выставляет их на продажу на фондовом рынке. Покупатель дает поручение на их покупку своему брокеру, который от его лица покупает активы на фондовом рынке у брокера продавца. Клиент передает денежные средства хранителю ценных бумаг, в то же время дает брокеру указание о покупке или продаже каких-то акций. Брокер совершает операцию от имени клиента, и хранитель ценных бумаг перечисляет деньги за сделку, предоставляя клиенту выписку со счета.</w:t>
      </w:r>
    </w:p>
    <w:p w14:paraId="25E92A48" w14:textId="77777777" w:rsidR="00265E02" w:rsidRDefault="00204CDF" w:rsidP="00265E02">
      <w:pPr>
        <w:pStyle w:val="11"/>
        <w:tabs>
          <w:tab w:val="left" w:pos="681"/>
        </w:tabs>
        <w:spacing w:line="353" w:lineRule="auto"/>
        <w:ind w:firstLine="709"/>
        <w:jc w:val="both"/>
        <w:rPr>
          <w:rFonts w:ascii="PT Astra Sans" w:hAnsi="PT Astra Sans"/>
        </w:rPr>
      </w:pPr>
      <w:bookmarkStart w:id="24" w:name="bookmark459"/>
      <w:bookmarkEnd w:id="24"/>
      <w:r w:rsidRPr="00204CDF">
        <w:rPr>
          <w:rFonts w:ascii="PT Astra Sans" w:hAnsi="PT Astra Sans"/>
        </w:rPr>
        <w:t>Существует альтернативная возможность операций с акциями на фондовом рынке называемая короткая продажа, т.е. продажа акций, которыми</w:t>
      </w:r>
      <w:r w:rsidR="00265E02">
        <w:rPr>
          <w:rFonts w:ascii="PT Astra Sans" w:hAnsi="PT Astra Sans"/>
        </w:rPr>
        <w:t xml:space="preserve"> </w:t>
      </w:r>
      <w:r w:rsidRPr="00204CDF">
        <w:rPr>
          <w:rFonts w:ascii="PT Astra Sans" w:hAnsi="PT Astra Sans"/>
        </w:rPr>
        <w:t>клиент не владеет. Она основана на предположении, что акция понизится в цене, и преследует цель получения прибыли от выкупа акции за меньшую цену, чем она была продана. Клиент оставляет заявку брокеру на короткую продажу акции. Брокер от его лица ее занимает у владельца и продает по рыночной цене. Клиент в этот момент владеет 1 акцией, но имеет на руках средства от ее продажи. Если в дальнейшем акция опускается в цене, и клиент выкупает ее обратно, то разница цен становится его прибылью (без вычета комиссионных), а брокер возвращает акцию ее владельцу. Так как если акция поднимется в цене, убытки могут быть бесконечно велики, применение данного механизма рекомендуется только опытным участникам фондового рынка.</w:t>
      </w:r>
    </w:p>
    <w:p w14:paraId="25AF85AB" w14:textId="77777777" w:rsidR="000F6A53" w:rsidRDefault="00204CDF" w:rsidP="000F6A53">
      <w:pPr>
        <w:pStyle w:val="11"/>
        <w:tabs>
          <w:tab w:val="left" w:pos="681"/>
        </w:tabs>
        <w:spacing w:line="353" w:lineRule="auto"/>
        <w:ind w:firstLine="709"/>
        <w:jc w:val="both"/>
        <w:rPr>
          <w:rFonts w:ascii="PT Astra Sans" w:hAnsi="PT Astra Sans"/>
        </w:rPr>
      </w:pPr>
      <w:r w:rsidRPr="00204CDF">
        <w:rPr>
          <w:rFonts w:ascii="PT Astra Sans" w:hAnsi="PT Astra Sans"/>
        </w:rPr>
        <w:t>Одним из основополагающих принципов торговли акциями является</w:t>
      </w:r>
      <w:r w:rsidR="00265E02">
        <w:rPr>
          <w:rFonts w:ascii="PT Astra Sans" w:hAnsi="PT Astra Sans"/>
        </w:rPr>
        <w:t xml:space="preserve"> </w:t>
      </w:r>
      <w:r w:rsidRPr="00204CDF">
        <w:rPr>
          <w:rFonts w:ascii="PT Astra Sans" w:hAnsi="PT Astra Sans"/>
        </w:rPr>
        <w:t>диверсификация инвестиционного портфеля. Она нацелена на распределение рисков путем инвестиций в более чем один финансовый инструмент. Так, наименее рискованные портфели будут содержать около 80% актива с постоянной доходностью и остаток портфеля будет составлен из рискованных, но высокодоходных инструментов.</w:t>
      </w:r>
    </w:p>
    <w:p w14:paraId="142350EA" w14:textId="28A37C6B" w:rsidR="00204CDF" w:rsidRPr="00204CDF" w:rsidRDefault="00204CDF" w:rsidP="000F6A53">
      <w:pPr>
        <w:pStyle w:val="11"/>
        <w:tabs>
          <w:tab w:val="left" w:pos="681"/>
        </w:tabs>
        <w:spacing w:line="353" w:lineRule="auto"/>
        <w:ind w:firstLine="709"/>
        <w:jc w:val="both"/>
        <w:rPr>
          <w:rFonts w:ascii="PT Astra Sans" w:hAnsi="PT Astra Sans"/>
        </w:rPr>
      </w:pPr>
      <w:r w:rsidRPr="00204CDF">
        <w:rPr>
          <w:rFonts w:ascii="PT Astra Sans" w:hAnsi="PT Astra Sans"/>
        </w:rPr>
        <w:t xml:space="preserve">Другой вариант торговли акциями </w:t>
      </w:r>
      <w:r w:rsidR="000F6A53">
        <w:rPr>
          <w:rFonts w:ascii="PT Astra Sans" w:hAnsi="PT Astra Sans"/>
        </w:rPr>
        <w:t>–</w:t>
      </w:r>
      <w:r w:rsidRPr="00204CDF">
        <w:rPr>
          <w:rFonts w:ascii="PT Astra Sans" w:hAnsi="PT Astra Sans"/>
        </w:rPr>
        <w:t xml:space="preserve"> это передача денежных средств в паевые инвестиционные фонды (ПИФ) и управляющие компании. Такое вложение средств требует минимальные трудовые затраты и минимальные финансовые знания, т.к. управлением активами занимаются профессиональные управляющие.</w:t>
      </w:r>
    </w:p>
    <w:p w14:paraId="51B97EA0" w14:textId="0A5C13FD" w:rsidR="0086089C" w:rsidRPr="00462B54" w:rsidRDefault="0086089C" w:rsidP="00204CDF">
      <w:pPr>
        <w:pStyle w:val="11"/>
        <w:tabs>
          <w:tab w:val="left" w:pos="681"/>
        </w:tabs>
        <w:spacing w:line="353" w:lineRule="auto"/>
        <w:ind w:firstLine="709"/>
        <w:jc w:val="both"/>
        <w:rPr>
          <w:rFonts w:ascii="PT Astra Sans" w:hAnsi="PT Astra Sans"/>
        </w:rPr>
      </w:pPr>
    </w:p>
    <w:sectPr w:rsidR="0086089C" w:rsidRPr="00462B54" w:rsidSect="0042245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18BD6" w14:textId="77777777" w:rsidR="000E666D" w:rsidRDefault="000E666D" w:rsidP="00422454">
      <w:pPr>
        <w:spacing w:after="0" w:line="240" w:lineRule="auto"/>
      </w:pPr>
      <w:r>
        <w:separator/>
      </w:r>
    </w:p>
  </w:endnote>
  <w:endnote w:type="continuationSeparator" w:id="0">
    <w:p w14:paraId="0D306023" w14:textId="77777777" w:rsidR="000E666D" w:rsidRDefault="000E666D"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D8CBB" w14:textId="77777777" w:rsidR="000E666D" w:rsidRDefault="000E666D" w:rsidP="00422454">
      <w:pPr>
        <w:spacing w:after="0" w:line="240" w:lineRule="auto"/>
      </w:pPr>
      <w:r>
        <w:separator/>
      </w:r>
    </w:p>
  </w:footnote>
  <w:footnote w:type="continuationSeparator" w:id="0">
    <w:p w14:paraId="12A7866A" w14:textId="77777777" w:rsidR="000E666D" w:rsidRDefault="000E666D"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52E1"/>
    <w:multiLevelType w:val="multilevel"/>
    <w:tmpl w:val="B2948AC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C43AA3"/>
    <w:multiLevelType w:val="multilevel"/>
    <w:tmpl w:val="A432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C9129C"/>
    <w:multiLevelType w:val="multilevel"/>
    <w:tmpl w:val="40B00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5237BB"/>
    <w:multiLevelType w:val="multilevel"/>
    <w:tmpl w:val="8B3CF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A000E9"/>
    <w:multiLevelType w:val="hybridMultilevel"/>
    <w:tmpl w:val="5E322FA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564662"/>
    <w:multiLevelType w:val="multilevel"/>
    <w:tmpl w:val="9D683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65189E"/>
    <w:multiLevelType w:val="multilevel"/>
    <w:tmpl w:val="19924F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6"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851B08"/>
    <w:multiLevelType w:val="multilevel"/>
    <w:tmpl w:val="4F60A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E1642B"/>
    <w:multiLevelType w:val="multilevel"/>
    <w:tmpl w:val="057843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10"/>
  </w:num>
  <w:num w:numId="5">
    <w:abstractNumId w:val="22"/>
  </w:num>
  <w:num w:numId="6">
    <w:abstractNumId w:val="18"/>
  </w:num>
  <w:num w:numId="7">
    <w:abstractNumId w:val="12"/>
  </w:num>
  <w:num w:numId="8">
    <w:abstractNumId w:val="2"/>
  </w:num>
  <w:num w:numId="9">
    <w:abstractNumId w:val="9"/>
  </w:num>
  <w:num w:numId="10">
    <w:abstractNumId w:val="19"/>
  </w:num>
  <w:num w:numId="11">
    <w:abstractNumId w:val="14"/>
  </w:num>
  <w:num w:numId="12">
    <w:abstractNumId w:val="17"/>
  </w:num>
  <w:num w:numId="13">
    <w:abstractNumId w:val="16"/>
  </w:num>
  <w:num w:numId="14">
    <w:abstractNumId w:val="15"/>
  </w:num>
  <w:num w:numId="15">
    <w:abstractNumId w:val="3"/>
  </w:num>
  <w:num w:numId="16">
    <w:abstractNumId w:val="13"/>
  </w:num>
  <w:num w:numId="17">
    <w:abstractNumId w:val="8"/>
  </w:num>
  <w:num w:numId="18">
    <w:abstractNumId w:val="11"/>
  </w:num>
  <w:num w:numId="19">
    <w:abstractNumId w:val="20"/>
  </w:num>
  <w:num w:numId="20">
    <w:abstractNumId w:val="21"/>
  </w:num>
  <w:num w:numId="21">
    <w:abstractNumId w:val="0"/>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6333"/>
    <w:rsid w:val="0003327F"/>
    <w:rsid w:val="00033FA7"/>
    <w:rsid w:val="000404F7"/>
    <w:rsid w:val="00055924"/>
    <w:rsid w:val="00092D7A"/>
    <w:rsid w:val="000B78A4"/>
    <w:rsid w:val="000E666D"/>
    <w:rsid w:val="000F6A53"/>
    <w:rsid w:val="0011705A"/>
    <w:rsid w:val="00134AF5"/>
    <w:rsid w:val="00165A12"/>
    <w:rsid w:val="00173D88"/>
    <w:rsid w:val="00182006"/>
    <w:rsid w:val="00197F3E"/>
    <w:rsid w:val="00197FE0"/>
    <w:rsid w:val="001A0965"/>
    <w:rsid w:val="001B24E2"/>
    <w:rsid w:val="001B3F58"/>
    <w:rsid w:val="001C3C4F"/>
    <w:rsid w:val="001E51D1"/>
    <w:rsid w:val="001E716A"/>
    <w:rsid w:val="001F286F"/>
    <w:rsid w:val="00204CDF"/>
    <w:rsid w:val="002138C2"/>
    <w:rsid w:val="00216E05"/>
    <w:rsid w:val="00234E39"/>
    <w:rsid w:val="0026237E"/>
    <w:rsid w:val="00265E02"/>
    <w:rsid w:val="00275952"/>
    <w:rsid w:val="00287DDC"/>
    <w:rsid w:val="00296352"/>
    <w:rsid w:val="002B0B8C"/>
    <w:rsid w:val="002D2464"/>
    <w:rsid w:val="002D5400"/>
    <w:rsid w:val="002E0279"/>
    <w:rsid w:val="00317362"/>
    <w:rsid w:val="00331BF9"/>
    <w:rsid w:val="00336F21"/>
    <w:rsid w:val="00337FBE"/>
    <w:rsid w:val="00344211"/>
    <w:rsid w:val="00344D6C"/>
    <w:rsid w:val="00345A98"/>
    <w:rsid w:val="003517FF"/>
    <w:rsid w:val="00363639"/>
    <w:rsid w:val="00385257"/>
    <w:rsid w:val="00392153"/>
    <w:rsid w:val="003A33E6"/>
    <w:rsid w:val="003E2339"/>
    <w:rsid w:val="00422454"/>
    <w:rsid w:val="004253F9"/>
    <w:rsid w:val="0044081B"/>
    <w:rsid w:val="0044149F"/>
    <w:rsid w:val="004560A2"/>
    <w:rsid w:val="00462B54"/>
    <w:rsid w:val="004A1C17"/>
    <w:rsid w:val="004D339B"/>
    <w:rsid w:val="004E0227"/>
    <w:rsid w:val="004E3AB9"/>
    <w:rsid w:val="005247DF"/>
    <w:rsid w:val="00524F86"/>
    <w:rsid w:val="00525A00"/>
    <w:rsid w:val="0054363A"/>
    <w:rsid w:val="0055009D"/>
    <w:rsid w:val="005508D4"/>
    <w:rsid w:val="005A17CD"/>
    <w:rsid w:val="005A3B51"/>
    <w:rsid w:val="005D58D0"/>
    <w:rsid w:val="005D6236"/>
    <w:rsid w:val="00635931"/>
    <w:rsid w:val="006359F1"/>
    <w:rsid w:val="0065322D"/>
    <w:rsid w:val="00663622"/>
    <w:rsid w:val="006C6B56"/>
    <w:rsid w:val="006D03F7"/>
    <w:rsid w:val="00705605"/>
    <w:rsid w:val="007161B2"/>
    <w:rsid w:val="007214D6"/>
    <w:rsid w:val="00756624"/>
    <w:rsid w:val="00762E8A"/>
    <w:rsid w:val="007642B0"/>
    <w:rsid w:val="0076633B"/>
    <w:rsid w:val="007721FA"/>
    <w:rsid w:val="00780935"/>
    <w:rsid w:val="00794595"/>
    <w:rsid w:val="007A097A"/>
    <w:rsid w:val="007A7C28"/>
    <w:rsid w:val="007E1FE4"/>
    <w:rsid w:val="007E455E"/>
    <w:rsid w:val="007E5710"/>
    <w:rsid w:val="0084498D"/>
    <w:rsid w:val="008456C6"/>
    <w:rsid w:val="0084594A"/>
    <w:rsid w:val="00854D24"/>
    <w:rsid w:val="0086089C"/>
    <w:rsid w:val="00895DDF"/>
    <w:rsid w:val="008A744C"/>
    <w:rsid w:val="008B23B5"/>
    <w:rsid w:val="008C3317"/>
    <w:rsid w:val="008E6AC5"/>
    <w:rsid w:val="00921CA7"/>
    <w:rsid w:val="009338FD"/>
    <w:rsid w:val="009349D8"/>
    <w:rsid w:val="0094576E"/>
    <w:rsid w:val="00945EA0"/>
    <w:rsid w:val="00994E4E"/>
    <w:rsid w:val="009A191B"/>
    <w:rsid w:val="009A735E"/>
    <w:rsid w:val="009C0480"/>
    <w:rsid w:val="009C3162"/>
    <w:rsid w:val="009C7C2B"/>
    <w:rsid w:val="009D0257"/>
    <w:rsid w:val="009D377D"/>
    <w:rsid w:val="009E35FD"/>
    <w:rsid w:val="009F36A9"/>
    <w:rsid w:val="009F4C04"/>
    <w:rsid w:val="00A045B1"/>
    <w:rsid w:val="00A04DB8"/>
    <w:rsid w:val="00A11BE3"/>
    <w:rsid w:val="00A24DE3"/>
    <w:rsid w:val="00A27D20"/>
    <w:rsid w:val="00A663AE"/>
    <w:rsid w:val="00A7206B"/>
    <w:rsid w:val="00A97440"/>
    <w:rsid w:val="00AB0A46"/>
    <w:rsid w:val="00AB74A0"/>
    <w:rsid w:val="00B139DB"/>
    <w:rsid w:val="00B23E51"/>
    <w:rsid w:val="00B75C5B"/>
    <w:rsid w:val="00BC2182"/>
    <w:rsid w:val="00BD19BA"/>
    <w:rsid w:val="00C31FB9"/>
    <w:rsid w:val="00C632AE"/>
    <w:rsid w:val="00C744D1"/>
    <w:rsid w:val="00C81224"/>
    <w:rsid w:val="00C911B8"/>
    <w:rsid w:val="00CA2BEA"/>
    <w:rsid w:val="00CB2C8D"/>
    <w:rsid w:val="00CC73F7"/>
    <w:rsid w:val="00CE2641"/>
    <w:rsid w:val="00CE5876"/>
    <w:rsid w:val="00CE73A4"/>
    <w:rsid w:val="00CF3A4F"/>
    <w:rsid w:val="00D065EB"/>
    <w:rsid w:val="00D10525"/>
    <w:rsid w:val="00D224C4"/>
    <w:rsid w:val="00D35F95"/>
    <w:rsid w:val="00D43FB5"/>
    <w:rsid w:val="00D74E1A"/>
    <w:rsid w:val="00D8187A"/>
    <w:rsid w:val="00D90089"/>
    <w:rsid w:val="00D90DFB"/>
    <w:rsid w:val="00D92EA7"/>
    <w:rsid w:val="00DC6C7A"/>
    <w:rsid w:val="00E10E69"/>
    <w:rsid w:val="00E135D3"/>
    <w:rsid w:val="00E442B0"/>
    <w:rsid w:val="00E9671B"/>
    <w:rsid w:val="00EA33BE"/>
    <w:rsid w:val="00EA3D42"/>
    <w:rsid w:val="00EB6F63"/>
    <w:rsid w:val="00ED353D"/>
    <w:rsid w:val="00F761BE"/>
    <w:rsid w:val="00F77C80"/>
    <w:rsid w:val="00F8311C"/>
    <w:rsid w:val="00F87DFF"/>
    <w:rsid w:val="00FB7FFB"/>
    <w:rsid w:val="00FD2618"/>
    <w:rsid w:val="00FD5FF3"/>
    <w:rsid w:val="00FE125D"/>
    <w:rsid w:val="00FE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 w:type="character" w:customStyle="1" w:styleId="ab">
    <w:name w:val="Подпись к таблице_"/>
    <w:basedOn w:val="a0"/>
    <w:link w:val="ac"/>
    <w:rsid w:val="00204CDF"/>
    <w:rPr>
      <w:rFonts w:ascii="Times New Roman" w:eastAsia="Times New Roman" w:hAnsi="Times New Roman" w:cs="Times New Roman"/>
      <w:sz w:val="28"/>
      <w:szCs w:val="28"/>
    </w:rPr>
  </w:style>
  <w:style w:type="paragraph" w:customStyle="1" w:styleId="ac">
    <w:name w:val="Подпись к таблице"/>
    <w:basedOn w:val="a"/>
    <w:link w:val="ab"/>
    <w:rsid w:val="00204CDF"/>
    <w:pPr>
      <w:widowControl w:val="0"/>
      <w:spacing w:after="0" w:line="240" w:lineRule="auto"/>
      <w:ind w:firstLine="36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303E-4FAB-434A-BF12-21EE5438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6</Pages>
  <Words>1643</Words>
  <Characters>9371</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148</cp:revision>
  <dcterms:created xsi:type="dcterms:W3CDTF">2026-08-19T06:51:00Z</dcterms:created>
  <dcterms:modified xsi:type="dcterms:W3CDTF">2026-09-14T07:41:00Z</dcterms:modified>
</cp:coreProperties>
</file>