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65D72" w14:textId="5EEFCC3B" w:rsidR="00204CDF" w:rsidRPr="00204CDF" w:rsidRDefault="00093824" w:rsidP="00CE2641">
      <w:pPr>
        <w:pStyle w:val="1"/>
        <w:tabs>
          <w:tab w:val="left" w:pos="680"/>
        </w:tabs>
      </w:pPr>
      <w:r>
        <w:rPr>
          <w:b/>
          <w:bCs/>
        </w:rPr>
        <w:t>Облигации</w:t>
      </w:r>
    </w:p>
    <w:p w14:paraId="2B2D8365" w14:textId="40872CEA" w:rsidR="00093824" w:rsidRPr="00093824" w:rsidRDefault="00093824" w:rsidP="00093824">
      <w:pPr>
        <w:pStyle w:val="11"/>
        <w:tabs>
          <w:tab w:val="left" w:pos="681"/>
        </w:tabs>
        <w:spacing w:line="353" w:lineRule="auto"/>
        <w:ind w:firstLine="709"/>
        <w:jc w:val="both"/>
        <w:rPr>
          <w:rFonts w:ascii="PT Astra Sans" w:hAnsi="PT Astra Sans"/>
        </w:rPr>
      </w:pPr>
      <w:r w:rsidRPr="00093824">
        <w:rPr>
          <w:rFonts w:ascii="PT Astra Sans" w:hAnsi="PT Astra Sans"/>
        </w:rPr>
        <w:t xml:space="preserve">Другой вид эмиссионных ценных бумаг </w:t>
      </w:r>
      <w:r>
        <w:rPr>
          <w:rFonts w:ascii="PT Astra Sans" w:hAnsi="PT Astra Sans"/>
        </w:rPr>
        <w:t>–</w:t>
      </w:r>
      <w:r w:rsidRPr="00093824">
        <w:rPr>
          <w:rFonts w:ascii="PT Astra Sans" w:hAnsi="PT Astra Sans"/>
        </w:rPr>
        <w:t xml:space="preserve"> это </w:t>
      </w:r>
      <w:r w:rsidRPr="00093824">
        <w:rPr>
          <w:rFonts w:ascii="PT Astra Sans" w:hAnsi="PT Astra Sans"/>
          <w:b/>
          <w:bCs/>
        </w:rPr>
        <w:t>облигации</w:t>
      </w:r>
      <w:r w:rsidRPr="00093824">
        <w:rPr>
          <w:rFonts w:ascii="PT Astra Sans" w:hAnsi="PT Astra Sans"/>
        </w:rPr>
        <w:t>.</w:t>
      </w:r>
    </w:p>
    <w:p w14:paraId="0C168273" w14:textId="77777777" w:rsidR="00093824" w:rsidRPr="00093824" w:rsidRDefault="00093824" w:rsidP="00093824">
      <w:pPr>
        <w:pStyle w:val="11"/>
        <w:tabs>
          <w:tab w:val="left" w:pos="681"/>
        </w:tabs>
        <w:spacing w:line="353" w:lineRule="auto"/>
        <w:ind w:firstLine="709"/>
        <w:jc w:val="both"/>
        <w:rPr>
          <w:rFonts w:ascii="PT Astra Sans" w:hAnsi="PT Astra Sans"/>
        </w:rPr>
      </w:pPr>
      <w:r w:rsidRPr="00093824">
        <w:rPr>
          <w:rFonts w:ascii="PT Astra Sans" w:hAnsi="PT Astra Sans"/>
        </w:rPr>
        <w:t>Основные виды облигаций (по типу эмитента): корпоративные облигации (в т.ч. биржевые), государственные (облигации федерального займа) и региональные (облигации субъектов Российской Федерации, муниципальные облигации) ценные бумаги.</w:t>
      </w:r>
    </w:p>
    <w:p w14:paraId="56973790" w14:textId="77777777" w:rsidR="00093824" w:rsidRPr="00093824" w:rsidRDefault="00093824" w:rsidP="00093824">
      <w:pPr>
        <w:pStyle w:val="11"/>
        <w:tabs>
          <w:tab w:val="left" w:pos="681"/>
        </w:tabs>
        <w:spacing w:line="353" w:lineRule="auto"/>
        <w:ind w:firstLine="709"/>
        <w:jc w:val="both"/>
        <w:rPr>
          <w:rFonts w:ascii="PT Astra Sans" w:hAnsi="PT Astra Sans"/>
        </w:rPr>
      </w:pPr>
      <w:r w:rsidRPr="00093824">
        <w:rPr>
          <w:rFonts w:ascii="PT Astra Sans" w:hAnsi="PT Astra Sans"/>
        </w:rPr>
        <w:t>Облигация имеет срок обращения, по окончанию которого ее владелец имеет право получить от эмитента номинальную стоимость облигации и все предусмотренные проспектом эмиссии доходы по облигации. Корпоративные облигации проходят процедуру государственной регистрации в Банке России, государственные и региональные облигации - в Министерстве финансов России, биржевые облигации - на Московской Бирже.</w:t>
      </w:r>
    </w:p>
    <w:p w14:paraId="023B7B97" w14:textId="307AD571" w:rsidR="00093824" w:rsidRPr="00093824" w:rsidRDefault="00093824" w:rsidP="00093824">
      <w:pPr>
        <w:pStyle w:val="2"/>
      </w:pPr>
      <w:r w:rsidRPr="00093824">
        <w:t>Профессиональные участники рынка ценных бумаг</w:t>
      </w:r>
    </w:p>
    <w:p w14:paraId="08CDA7B2" w14:textId="77777777" w:rsidR="00E25EC4" w:rsidRDefault="00093824" w:rsidP="00093824">
      <w:pPr>
        <w:pStyle w:val="11"/>
        <w:tabs>
          <w:tab w:val="left" w:pos="681"/>
        </w:tabs>
        <w:spacing w:line="353" w:lineRule="auto"/>
        <w:ind w:firstLine="709"/>
        <w:jc w:val="both"/>
        <w:rPr>
          <w:rFonts w:ascii="PT Astra Sans" w:hAnsi="PT Astra Sans"/>
        </w:rPr>
      </w:pPr>
      <w:r w:rsidRPr="00093824">
        <w:rPr>
          <w:rFonts w:ascii="PT Astra Sans" w:hAnsi="PT Astra Sans"/>
        </w:rPr>
        <w:t>Федеральный закон от 22.04.1996 г. № 39-ФЗ «О рынке ценных бумаг» определяет посредническую деятельность на рынке ценных бумаг, которую осуществляют брокеры, дилеры и доверительные управляющие.</w:t>
      </w:r>
    </w:p>
    <w:p w14:paraId="3B62B0D0" w14:textId="77777777" w:rsidR="00E25EC4" w:rsidRDefault="00093824" w:rsidP="00093824">
      <w:pPr>
        <w:pStyle w:val="11"/>
        <w:tabs>
          <w:tab w:val="left" w:pos="681"/>
        </w:tabs>
        <w:spacing w:line="353" w:lineRule="auto"/>
        <w:ind w:firstLine="709"/>
        <w:jc w:val="both"/>
        <w:rPr>
          <w:rFonts w:ascii="PT Astra Sans" w:hAnsi="PT Astra Sans"/>
        </w:rPr>
      </w:pPr>
      <w:r w:rsidRPr="00E25EC4">
        <w:rPr>
          <w:rFonts w:ascii="PT Astra Sans" w:hAnsi="PT Astra Sans"/>
          <w:b/>
          <w:bCs/>
        </w:rPr>
        <w:t>Брокер</w:t>
      </w:r>
      <w:r w:rsidRPr="00093824">
        <w:rPr>
          <w:rFonts w:ascii="PT Astra Sans" w:hAnsi="PT Astra Sans"/>
        </w:rPr>
        <w:t xml:space="preserve"> совершает сделки на рынке ценных бумаг по поручению клиента: от имени и за счет клиента или от своего имени и за счет клиента. </w:t>
      </w:r>
    </w:p>
    <w:p w14:paraId="4DC0338C" w14:textId="77777777" w:rsidR="00E25EC4" w:rsidRDefault="00093824" w:rsidP="00093824">
      <w:pPr>
        <w:pStyle w:val="11"/>
        <w:tabs>
          <w:tab w:val="left" w:pos="681"/>
        </w:tabs>
        <w:spacing w:line="353" w:lineRule="auto"/>
        <w:ind w:firstLine="709"/>
        <w:jc w:val="both"/>
        <w:rPr>
          <w:rFonts w:ascii="PT Astra Sans" w:hAnsi="PT Astra Sans"/>
        </w:rPr>
      </w:pPr>
      <w:r w:rsidRPr="00E25EC4">
        <w:rPr>
          <w:rFonts w:ascii="PT Astra Sans" w:hAnsi="PT Astra Sans"/>
          <w:b/>
          <w:bCs/>
        </w:rPr>
        <w:t>Дилер</w:t>
      </w:r>
      <w:r w:rsidRPr="00093824">
        <w:rPr>
          <w:rFonts w:ascii="PT Astra Sans" w:hAnsi="PT Astra Sans"/>
        </w:rPr>
        <w:t xml:space="preserve"> заключает сделки с ценными бумагами от своего имени и за свой счет. </w:t>
      </w:r>
    </w:p>
    <w:p w14:paraId="3F00EF07" w14:textId="5425EB49" w:rsidR="00093824" w:rsidRPr="00093824" w:rsidRDefault="00093824" w:rsidP="00093824">
      <w:pPr>
        <w:pStyle w:val="11"/>
        <w:tabs>
          <w:tab w:val="left" w:pos="681"/>
        </w:tabs>
        <w:spacing w:line="353" w:lineRule="auto"/>
        <w:ind w:firstLine="709"/>
        <w:jc w:val="both"/>
        <w:rPr>
          <w:rFonts w:ascii="PT Astra Sans" w:hAnsi="PT Astra Sans"/>
        </w:rPr>
      </w:pPr>
      <w:r w:rsidRPr="00E25EC4">
        <w:rPr>
          <w:rFonts w:ascii="PT Astra Sans" w:hAnsi="PT Astra Sans"/>
          <w:b/>
          <w:bCs/>
        </w:rPr>
        <w:t>Доверительный управляющий</w:t>
      </w:r>
      <w:r w:rsidRPr="00093824">
        <w:rPr>
          <w:rFonts w:ascii="PT Astra Sans" w:hAnsi="PT Astra Sans"/>
        </w:rPr>
        <w:t xml:space="preserve"> выделяет персонального брокера для управления ценными бумагами клиента.</w:t>
      </w:r>
    </w:p>
    <w:p w14:paraId="75F6EA3E" w14:textId="3091233B" w:rsidR="00093824" w:rsidRPr="00093824" w:rsidRDefault="00093824" w:rsidP="00093824">
      <w:pPr>
        <w:pStyle w:val="11"/>
        <w:tabs>
          <w:tab w:val="left" w:pos="681"/>
        </w:tabs>
        <w:spacing w:line="353" w:lineRule="auto"/>
        <w:ind w:firstLine="709"/>
        <w:jc w:val="both"/>
        <w:rPr>
          <w:rFonts w:ascii="PT Astra Sans" w:hAnsi="PT Astra Sans"/>
        </w:rPr>
      </w:pPr>
      <w:r w:rsidRPr="00093824">
        <w:rPr>
          <w:rFonts w:ascii="PT Astra Sans" w:hAnsi="PT Astra Sans"/>
        </w:rPr>
        <w:t>На бирже все сделки по купле-продаже ценных бумаг осуществляют только брокеры. Любой гражданин России имеет право заключить с брокером договор, открыть у него брокерский счет и инвестировать средства в ценные бумаги, давая брокеру поручения и оплачивая его услуги посредством комиссионного вознаграждения. Важно знать, что брокер лишь исполняет поручения клиента, не отвечая за успешность клиентских операций. Доверительный управляющий, напротив, отвечает перед клиентом за эффективное управление и совершение операций, направленных на увеличение стоимости активов, переданных ему в доверительное управление.</w:t>
      </w:r>
    </w:p>
    <w:p w14:paraId="1C85459C" w14:textId="77777777" w:rsidR="00093824" w:rsidRPr="00093824" w:rsidRDefault="00093824" w:rsidP="00093824">
      <w:pPr>
        <w:pStyle w:val="11"/>
        <w:tabs>
          <w:tab w:val="left" w:pos="681"/>
        </w:tabs>
        <w:spacing w:line="353" w:lineRule="auto"/>
        <w:ind w:firstLine="709"/>
        <w:jc w:val="both"/>
        <w:rPr>
          <w:rFonts w:ascii="PT Astra Sans" w:hAnsi="PT Astra Sans"/>
        </w:rPr>
      </w:pPr>
      <w:r w:rsidRPr="00093824">
        <w:rPr>
          <w:rFonts w:ascii="PT Astra Sans" w:hAnsi="PT Astra Sans"/>
        </w:rPr>
        <w:lastRenderedPageBreak/>
        <w:t>С частными инвесторами на рынке ценных бумаг работает брокер, который получает комиссионные от суммы сделки. Подавать заявку брокеру можно по телефону или через специальную электронную систему, которую вам предоставит брокер (система Интернет-трейдинга).</w:t>
      </w:r>
    </w:p>
    <w:p w14:paraId="3FCC3987" w14:textId="77777777" w:rsidR="00093824" w:rsidRPr="00093824" w:rsidRDefault="00093824" w:rsidP="00093824">
      <w:pPr>
        <w:pStyle w:val="11"/>
        <w:tabs>
          <w:tab w:val="left" w:pos="681"/>
        </w:tabs>
        <w:spacing w:line="353" w:lineRule="auto"/>
        <w:ind w:firstLine="709"/>
        <w:jc w:val="both"/>
        <w:rPr>
          <w:rFonts w:ascii="PT Astra Sans" w:hAnsi="PT Astra Sans"/>
        </w:rPr>
      </w:pPr>
      <w:r w:rsidRPr="00093824">
        <w:rPr>
          <w:rFonts w:ascii="PT Astra Sans" w:hAnsi="PT Astra Sans"/>
        </w:rPr>
        <w:t>Факторы, влияющие на выбор брокера: должен иметь лицензию на осуществление брокерской деятельности; должен быть активным участником биржевых торгов; каковы отзывы о его деятельности в Интернете и др.</w:t>
      </w:r>
    </w:p>
    <w:p w14:paraId="18C7D14D" w14:textId="77777777" w:rsidR="00093824" w:rsidRPr="00093824" w:rsidRDefault="00093824" w:rsidP="00093824">
      <w:pPr>
        <w:pStyle w:val="11"/>
        <w:tabs>
          <w:tab w:val="left" w:pos="681"/>
        </w:tabs>
        <w:spacing w:line="353" w:lineRule="auto"/>
        <w:ind w:firstLine="709"/>
        <w:jc w:val="both"/>
        <w:rPr>
          <w:rFonts w:ascii="PT Astra Sans" w:hAnsi="PT Astra Sans"/>
        </w:rPr>
      </w:pPr>
      <w:r w:rsidRPr="00093824">
        <w:rPr>
          <w:rFonts w:ascii="PT Astra Sans" w:hAnsi="PT Astra Sans"/>
        </w:rPr>
        <w:t>Учет прав и хранение ценных бумаг осуществляют специальные организации - депозитарии. Реестр (список) акционеров акционерных обществ ведут регистраторы - организации, которые имеют право заниматься только этой деятельностью и обладают специальной лицензией Банка России.</w:t>
      </w:r>
    </w:p>
    <w:p w14:paraId="0F0D8B85" w14:textId="77777777" w:rsidR="00093824" w:rsidRPr="00204CDF" w:rsidRDefault="00093824" w:rsidP="00093824">
      <w:pPr>
        <w:pStyle w:val="11"/>
        <w:tabs>
          <w:tab w:val="left" w:pos="681"/>
        </w:tabs>
        <w:spacing w:line="353" w:lineRule="auto"/>
        <w:ind w:firstLine="709"/>
        <w:jc w:val="both"/>
        <w:rPr>
          <w:rFonts w:ascii="PT Astra Sans" w:hAnsi="PT Astra Sans"/>
        </w:rPr>
      </w:pPr>
    </w:p>
    <w:p w14:paraId="51B97EA0" w14:textId="77777777" w:rsidR="0086089C" w:rsidRPr="00462B54" w:rsidRDefault="0086089C" w:rsidP="00204CDF">
      <w:pPr>
        <w:pStyle w:val="11"/>
        <w:tabs>
          <w:tab w:val="left" w:pos="681"/>
        </w:tabs>
        <w:spacing w:line="353" w:lineRule="auto"/>
        <w:ind w:firstLine="709"/>
        <w:jc w:val="both"/>
        <w:rPr>
          <w:rFonts w:ascii="PT Astra Sans" w:hAnsi="PT Astra Sans"/>
        </w:rPr>
      </w:pPr>
    </w:p>
    <w:sectPr w:rsidR="0086089C" w:rsidRPr="00462B54" w:rsidSect="00422454">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FD48A" w14:textId="77777777" w:rsidR="007C1503" w:rsidRDefault="007C1503" w:rsidP="00422454">
      <w:pPr>
        <w:spacing w:after="0" w:line="240" w:lineRule="auto"/>
      </w:pPr>
      <w:r>
        <w:separator/>
      </w:r>
    </w:p>
  </w:endnote>
  <w:endnote w:type="continuationSeparator" w:id="0">
    <w:p w14:paraId="1D48FD53" w14:textId="77777777" w:rsidR="007C1503" w:rsidRDefault="007C1503" w:rsidP="00422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Astra Sans">
    <w:panose1 w:val="020B0603020203020204"/>
    <w:charset w:val="CC"/>
    <w:family w:val="swiss"/>
    <w:pitch w:val="variable"/>
    <w:sig w:usb0="A00002EF" w:usb1="5000204B" w:usb2="00000020" w:usb3="00000000" w:csb0="00000097"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4530875"/>
      <w:docPartObj>
        <w:docPartGallery w:val="Page Numbers (Bottom of Page)"/>
        <w:docPartUnique/>
      </w:docPartObj>
    </w:sdtPr>
    <w:sdtEndPr/>
    <w:sdtContent>
      <w:p w14:paraId="37CB7635" w14:textId="13A411AA" w:rsidR="00422454" w:rsidRDefault="00422454">
        <w:pPr>
          <w:pStyle w:val="a5"/>
          <w:jc w:val="right"/>
        </w:pPr>
        <w:r>
          <w:fldChar w:fldCharType="begin"/>
        </w:r>
        <w:r>
          <w:instrText>PAGE   \* MERGEFORMAT</w:instrText>
        </w:r>
        <w:r>
          <w:fldChar w:fldCharType="separate"/>
        </w:r>
        <w:r>
          <w:t>2</w:t>
        </w:r>
        <w:r>
          <w:fldChar w:fldCharType="end"/>
        </w:r>
      </w:p>
    </w:sdtContent>
  </w:sdt>
  <w:p w14:paraId="695E0B31" w14:textId="77777777" w:rsidR="00422454" w:rsidRDefault="0042245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CAD37E" w14:textId="77777777" w:rsidR="007C1503" w:rsidRDefault="007C1503" w:rsidP="00422454">
      <w:pPr>
        <w:spacing w:after="0" w:line="240" w:lineRule="auto"/>
      </w:pPr>
      <w:r>
        <w:separator/>
      </w:r>
    </w:p>
  </w:footnote>
  <w:footnote w:type="continuationSeparator" w:id="0">
    <w:p w14:paraId="1239C742" w14:textId="77777777" w:rsidR="007C1503" w:rsidRDefault="007C1503" w:rsidP="004224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3535501"/>
      <w:docPartObj>
        <w:docPartGallery w:val="Page Numbers (Top of Page)"/>
        <w:docPartUnique/>
      </w:docPartObj>
    </w:sdtPr>
    <w:sdtEndPr/>
    <w:sdtContent>
      <w:p w14:paraId="08C4115C" w14:textId="70B9AA1F" w:rsidR="00422454" w:rsidRDefault="005D6236">
        <w:pPr>
          <w:pStyle w:val="a3"/>
          <w:jc w:val="right"/>
        </w:pPr>
        <w:r>
          <w:rPr>
            <w:noProof/>
          </w:rPr>
          <w:drawing>
            <wp:anchor distT="0" distB="0" distL="114300" distR="114300" simplePos="0" relativeHeight="251658240" behindDoc="0" locked="0" layoutInCell="1" allowOverlap="1" wp14:anchorId="05CD94E7" wp14:editId="0632D560">
              <wp:simplePos x="0" y="0"/>
              <wp:positionH relativeFrom="margin">
                <wp:align>right</wp:align>
              </wp:positionH>
              <wp:positionV relativeFrom="paragraph">
                <wp:posOffset>-1905</wp:posOffset>
              </wp:positionV>
              <wp:extent cx="1914525" cy="280035"/>
              <wp:effectExtent l="0" t="0" r="9525" b="5715"/>
              <wp:wrapThrough wrapText="bothSides">
                <wp:wrapPolygon edited="0">
                  <wp:start x="0" y="0"/>
                  <wp:lineTo x="0" y="20571"/>
                  <wp:lineTo x="10531" y="20571"/>
                  <wp:lineTo x="21493" y="17633"/>
                  <wp:lineTo x="21493" y="0"/>
                  <wp:lineTo x="10316"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4525" cy="280035"/>
                      </a:xfrm>
                      <a:prstGeom prst="rect">
                        <a:avLst/>
                      </a:prstGeom>
                      <a:noFill/>
                      <a:ln>
                        <a:noFill/>
                      </a:ln>
                    </pic:spPr>
                  </pic:pic>
                </a:graphicData>
              </a:graphic>
            </wp:anchor>
          </w:drawing>
        </w:r>
      </w:p>
    </w:sdtContent>
  </w:sdt>
  <w:p w14:paraId="1E18C6E9" w14:textId="5CAD8B41" w:rsidR="00422454" w:rsidRDefault="0042245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852E1"/>
    <w:multiLevelType w:val="multilevel"/>
    <w:tmpl w:val="B2948AC6"/>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EC43AA3"/>
    <w:multiLevelType w:val="multilevel"/>
    <w:tmpl w:val="A432BF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0FA0637"/>
    <w:multiLevelType w:val="hybridMultilevel"/>
    <w:tmpl w:val="3EFEFD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C9129C"/>
    <w:multiLevelType w:val="multilevel"/>
    <w:tmpl w:val="40B003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A442117"/>
    <w:multiLevelType w:val="hybridMultilevel"/>
    <w:tmpl w:val="46D851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A541F5E"/>
    <w:multiLevelType w:val="hybridMultilevel"/>
    <w:tmpl w:val="46D851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305030B"/>
    <w:multiLevelType w:val="multilevel"/>
    <w:tmpl w:val="7F1E194E"/>
    <w:lvl w:ilvl="0">
      <w:start w:val="1"/>
      <w:numFmt w:val="bullet"/>
      <w:lvlText w:val=""/>
      <w:lvlJc w:val="left"/>
      <w:rPr>
        <w:rFonts w:ascii="Symbol" w:hAnsi="Symbol" w:hint="default"/>
        <w:b w:val="0"/>
        <w:bCs w:val="0"/>
        <w:i w:val="0"/>
        <w:iCs w:val="0"/>
        <w:smallCaps w:val="0"/>
        <w:strike w:val="0"/>
        <w:color w:val="000000"/>
        <w:spacing w:val="0"/>
        <w:w w:val="100"/>
        <w:position w:val="0"/>
        <w:sz w:val="19"/>
        <w:szCs w:val="19"/>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55237BB"/>
    <w:multiLevelType w:val="multilevel"/>
    <w:tmpl w:val="8B3CF0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CA000E9"/>
    <w:multiLevelType w:val="hybridMultilevel"/>
    <w:tmpl w:val="5E322FAA"/>
    <w:lvl w:ilvl="0" w:tplc="4D0E9FA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3CD5907"/>
    <w:multiLevelType w:val="hybridMultilevel"/>
    <w:tmpl w:val="77046EE6"/>
    <w:lvl w:ilvl="0" w:tplc="4D0E9F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9C83779"/>
    <w:multiLevelType w:val="hybridMultilevel"/>
    <w:tmpl w:val="B4D8587E"/>
    <w:lvl w:ilvl="0" w:tplc="4D0E9F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0564662"/>
    <w:multiLevelType w:val="multilevel"/>
    <w:tmpl w:val="9D6838E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5D74E71"/>
    <w:multiLevelType w:val="hybridMultilevel"/>
    <w:tmpl w:val="1CBE05FC"/>
    <w:lvl w:ilvl="0" w:tplc="4D0E9F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765189E"/>
    <w:multiLevelType w:val="multilevel"/>
    <w:tmpl w:val="19924F3A"/>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AF64963"/>
    <w:multiLevelType w:val="hybridMultilevel"/>
    <w:tmpl w:val="5F8ACA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8DA505F"/>
    <w:multiLevelType w:val="hybridMultilevel"/>
    <w:tmpl w:val="9D0446A6"/>
    <w:lvl w:ilvl="0" w:tplc="E81653CE">
      <w:start w:val="1"/>
      <w:numFmt w:val="decimal"/>
      <w:lvlText w:val="%1."/>
      <w:lvlJc w:val="left"/>
      <w:pPr>
        <w:ind w:left="760" w:hanging="360"/>
      </w:pPr>
      <w:rPr>
        <w:rFonts w:cs="PT Astra San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16" w15:restartNumberingAfterBreak="0">
    <w:nsid w:val="6B975E96"/>
    <w:multiLevelType w:val="hybridMultilevel"/>
    <w:tmpl w:val="D3CE037A"/>
    <w:lvl w:ilvl="0" w:tplc="4D0E9FA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E905F80"/>
    <w:multiLevelType w:val="hybridMultilevel"/>
    <w:tmpl w:val="5F8ACA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6346E58"/>
    <w:multiLevelType w:val="hybridMultilevel"/>
    <w:tmpl w:val="EC1CAE30"/>
    <w:lvl w:ilvl="0" w:tplc="4D0E9F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7D54424E"/>
    <w:multiLevelType w:val="hybridMultilevel"/>
    <w:tmpl w:val="5F8ACA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D851B08"/>
    <w:multiLevelType w:val="multilevel"/>
    <w:tmpl w:val="4F60A3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DE1642B"/>
    <w:multiLevelType w:val="multilevel"/>
    <w:tmpl w:val="0578434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F081FF2"/>
    <w:multiLevelType w:val="hybridMultilevel"/>
    <w:tmpl w:val="F72CFA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5"/>
  </w:num>
  <w:num w:numId="3">
    <w:abstractNumId w:val="4"/>
  </w:num>
  <w:num w:numId="4">
    <w:abstractNumId w:val="10"/>
  </w:num>
  <w:num w:numId="5">
    <w:abstractNumId w:val="22"/>
  </w:num>
  <w:num w:numId="6">
    <w:abstractNumId w:val="18"/>
  </w:num>
  <w:num w:numId="7">
    <w:abstractNumId w:val="12"/>
  </w:num>
  <w:num w:numId="8">
    <w:abstractNumId w:val="2"/>
  </w:num>
  <w:num w:numId="9">
    <w:abstractNumId w:val="9"/>
  </w:num>
  <w:num w:numId="10">
    <w:abstractNumId w:val="19"/>
  </w:num>
  <w:num w:numId="11">
    <w:abstractNumId w:val="14"/>
  </w:num>
  <w:num w:numId="12">
    <w:abstractNumId w:val="17"/>
  </w:num>
  <w:num w:numId="13">
    <w:abstractNumId w:val="16"/>
  </w:num>
  <w:num w:numId="14">
    <w:abstractNumId w:val="15"/>
  </w:num>
  <w:num w:numId="15">
    <w:abstractNumId w:val="3"/>
  </w:num>
  <w:num w:numId="16">
    <w:abstractNumId w:val="13"/>
  </w:num>
  <w:num w:numId="17">
    <w:abstractNumId w:val="8"/>
  </w:num>
  <w:num w:numId="18">
    <w:abstractNumId w:val="11"/>
  </w:num>
  <w:num w:numId="19">
    <w:abstractNumId w:val="20"/>
  </w:num>
  <w:num w:numId="20">
    <w:abstractNumId w:val="21"/>
  </w:num>
  <w:num w:numId="21">
    <w:abstractNumId w:val="0"/>
  </w:num>
  <w:num w:numId="22">
    <w:abstractNumId w:val="7"/>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454"/>
    <w:rsid w:val="00015462"/>
    <w:rsid w:val="00016333"/>
    <w:rsid w:val="0003327F"/>
    <w:rsid w:val="00033FA7"/>
    <w:rsid w:val="000404F7"/>
    <w:rsid w:val="00055924"/>
    <w:rsid w:val="00092D7A"/>
    <w:rsid w:val="00093824"/>
    <w:rsid w:val="000B78A4"/>
    <w:rsid w:val="000E666D"/>
    <w:rsid w:val="000F6A53"/>
    <w:rsid w:val="0011705A"/>
    <w:rsid w:val="00134AF5"/>
    <w:rsid w:val="00165A12"/>
    <w:rsid w:val="00173D88"/>
    <w:rsid w:val="00182006"/>
    <w:rsid w:val="00197F3E"/>
    <w:rsid w:val="00197FE0"/>
    <w:rsid w:val="001A0965"/>
    <w:rsid w:val="001B24E2"/>
    <w:rsid w:val="001B3F58"/>
    <w:rsid w:val="001C3C4F"/>
    <w:rsid w:val="001E51D1"/>
    <w:rsid w:val="001E716A"/>
    <w:rsid w:val="001F286F"/>
    <w:rsid w:val="00204CDF"/>
    <w:rsid w:val="002138C2"/>
    <w:rsid w:val="00216E05"/>
    <w:rsid w:val="00234E39"/>
    <w:rsid w:val="0026237E"/>
    <w:rsid w:val="00265E02"/>
    <w:rsid w:val="00275952"/>
    <w:rsid w:val="00287DDC"/>
    <w:rsid w:val="00296352"/>
    <w:rsid w:val="002B0B8C"/>
    <w:rsid w:val="002D2464"/>
    <w:rsid w:val="002D5400"/>
    <w:rsid w:val="002E0279"/>
    <w:rsid w:val="00317362"/>
    <w:rsid w:val="00331BF9"/>
    <w:rsid w:val="00336F21"/>
    <w:rsid w:val="00337FBE"/>
    <w:rsid w:val="00344211"/>
    <w:rsid w:val="00344D6C"/>
    <w:rsid w:val="00345A98"/>
    <w:rsid w:val="003517FF"/>
    <w:rsid w:val="00363639"/>
    <w:rsid w:val="00385257"/>
    <w:rsid w:val="00392153"/>
    <w:rsid w:val="003A33E6"/>
    <w:rsid w:val="003E2339"/>
    <w:rsid w:val="00422454"/>
    <w:rsid w:val="004253F9"/>
    <w:rsid w:val="0044081B"/>
    <w:rsid w:val="0044149F"/>
    <w:rsid w:val="004560A2"/>
    <w:rsid w:val="00462B54"/>
    <w:rsid w:val="004A1C17"/>
    <w:rsid w:val="004D339B"/>
    <w:rsid w:val="004E0227"/>
    <w:rsid w:val="004E3AB9"/>
    <w:rsid w:val="005247DF"/>
    <w:rsid w:val="00524F86"/>
    <w:rsid w:val="00525A00"/>
    <w:rsid w:val="0054363A"/>
    <w:rsid w:val="0055009D"/>
    <w:rsid w:val="005508D4"/>
    <w:rsid w:val="005A17CD"/>
    <w:rsid w:val="005A3B51"/>
    <w:rsid w:val="005D58D0"/>
    <w:rsid w:val="005D6236"/>
    <w:rsid w:val="00635931"/>
    <w:rsid w:val="006359F1"/>
    <w:rsid w:val="0065322D"/>
    <w:rsid w:val="00663622"/>
    <w:rsid w:val="006C6B56"/>
    <w:rsid w:val="006D03F7"/>
    <w:rsid w:val="00705605"/>
    <w:rsid w:val="007161B2"/>
    <w:rsid w:val="007214D6"/>
    <w:rsid w:val="00756624"/>
    <w:rsid w:val="00762E8A"/>
    <w:rsid w:val="007642B0"/>
    <w:rsid w:val="0076633B"/>
    <w:rsid w:val="007721FA"/>
    <w:rsid w:val="00780935"/>
    <w:rsid w:val="00794595"/>
    <w:rsid w:val="007A097A"/>
    <w:rsid w:val="007A7C28"/>
    <w:rsid w:val="007C1503"/>
    <w:rsid w:val="007E1FE4"/>
    <w:rsid w:val="007E455E"/>
    <w:rsid w:val="007E5710"/>
    <w:rsid w:val="0084498D"/>
    <w:rsid w:val="008456C6"/>
    <w:rsid w:val="0084594A"/>
    <w:rsid w:val="00854D24"/>
    <w:rsid w:val="0086089C"/>
    <w:rsid w:val="00895DDF"/>
    <w:rsid w:val="008A744C"/>
    <w:rsid w:val="008B23B5"/>
    <w:rsid w:val="008C3317"/>
    <w:rsid w:val="008E6AC5"/>
    <w:rsid w:val="00921CA7"/>
    <w:rsid w:val="009338FD"/>
    <w:rsid w:val="009349D8"/>
    <w:rsid w:val="0094576E"/>
    <w:rsid w:val="00945EA0"/>
    <w:rsid w:val="00994E4E"/>
    <w:rsid w:val="009A191B"/>
    <w:rsid w:val="009A735E"/>
    <w:rsid w:val="009C0480"/>
    <w:rsid w:val="009C3162"/>
    <w:rsid w:val="009C7C2B"/>
    <w:rsid w:val="009D0257"/>
    <w:rsid w:val="009D377D"/>
    <w:rsid w:val="009E35FD"/>
    <w:rsid w:val="009F36A9"/>
    <w:rsid w:val="009F4C04"/>
    <w:rsid w:val="00A045B1"/>
    <w:rsid w:val="00A04DB8"/>
    <w:rsid w:val="00A11BE3"/>
    <w:rsid w:val="00A24DE3"/>
    <w:rsid w:val="00A27D20"/>
    <w:rsid w:val="00A663AE"/>
    <w:rsid w:val="00A7206B"/>
    <w:rsid w:val="00A97440"/>
    <w:rsid w:val="00AB0A46"/>
    <w:rsid w:val="00AB74A0"/>
    <w:rsid w:val="00B139DB"/>
    <w:rsid w:val="00B23E51"/>
    <w:rsid w:val="00B75C5B"/>
    <w:rsid w:val="00BC2182"/>
    <w:rsid w:val="00BD19BA"/>
    <w:rsid w:val="00C31FB9"/>
    <w:rsid w:val="00C632AE"/>
    <w:rsid w:val="00C744D1"/>
    <w:rsid w:val="00C81224"/>
    <w:rsid w:val="00C911B8"/>
    <w:rsid w:val="00CA2BEA"/>
    <w:rsid w:val="00CB2C8D"/>
    <w:rsid w:val="00CC73F7"/>
    <w:rsid w:val="00CE2641"/>
    <w:rsid w:val="00CE5876"/>
    <w:rsid w:val="00CE73A4"/>
    <w:rsid w:val="00CF3A4F"/>
    <w:rsid w:val="00D065EB"/>
    <w:rsid w:val="00D10525"/>
    <w:rsid w:val="00D224C4"/>
    <w:rsid w:val="00D35F95"/>
    <w:rsid w:val="00D43FB5"/>
    <w:rsid w:val="00D74E1A"/>
    <w:rsid w:val="00D8187A"/>
    <w:rsid w:val="00D90089"/>
    <w:rsid w:val="00D90DFB"/>
    <w:rsid w:val="00D92EA7"/>
    <w:rsid w:val="00DC6C7A"/>
    <w:rsid w:val="00E10E69"/>
    <w:rsid w:val="00E135D3"/>
    <w:rsid w:val="00E25EC4"/>
    <w:rsid w:val="00E442B0"/>
    <w:rsid w:val="00E9671B"/>
    <w:rsid w:val="00EA33BE"/>
    <w:rsid w:val="00EA3D42"/>
    <w:rsid w:val="00EB6F63"/>
    <w:rsid w:val="00ED353D"/>
    <w:rsid w:val="00F761BE"/>
    <w:rsid w:val="00F77C80"/>
    <w:rsid w:val="00F8311C"/>
    <w:rsid w:val="00F87DFF"/>
    <w:rsid w:val="00FB7FFB"/>
    <w:rsid w:val="00FD2618"/>
    <w:rsid w:val="00FD5FF3"/>
    <w:rsid w:val="00FE125D"/>
    <w:rsid w:val="00FE73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3679"/>
  <w15:chartTrackingRefBased/>
  <w15:docId w15:val="{7FEE235F-1EC0-43FF-9FE9-7FCC769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139DB"/>
    <w:pPr>
      <w:keepNext/>
      <w:keepLines/>
      <w:spacing w:before="240" w:after="0"/>
      <w:outlineLvl w:val="0"/>
    </w:pPr>
    <w:rPr>
      <w:rFonts w:ascii="PT Astra Sans" w:eastAsiaTheme="majorEastAsia" w:hAnsi="PT Astra Sans" w:cstheme="majorBidi"/>
      <w:sz w:val="36"/>
      <w:szCs w:val="32"/>
    </w:rPr>
  </w:style>
  <w:style w:type="paragraph" w:styleId="2">
    <w:name w:val="heading 2"/>
    <w:basedOn w:val="a"/>
    <w:next w:val="a"/>
    <w:link w:val="20"/>
    <w:uiPriority w:val="9"/>
    <w:unhideWhenUsed/>
    <w:qFormat/>
    <w:rsid w:val="0086089C"/>
    <w:pPr>
      <w:keepNext/>
      <w:keepLines/>
      <w:spacing w:before="40" w:after="0"/>
      <w:outlineLvl w:val="1"/>
    </w:pPr>
    <w:rPr>
      <w:rFonts w:ascii="PT Astra Sans" w:eastAsiaTheme="majorEastAsia" w:hAnsi="PT Astra Sans" w:cstheme="majorBidi"/>
      <w:b/>
      <w:sz w:val="28"/>
      <w:szCs w:val="26"/>
    </w:rPr>
  </w:style>
  <w:style w:type="paragraph" w:styleId="3">
    <w:name w:val="heading 3"/>
    <w:basedOn w:val="a"/>
    <w:next w:val="a"/>
    <w:link w:val="30"/>
    <w:uiPriority w:val="9"/>
    <w:unhideWhenUsed/>
    <w:qFormat/>
    <w:rsid w:val="009A191B"/>
    <w:pPr>
      <w:keepNext/>
      <w:keepLines/>
      <w:spacing w:before="40" w:after="0"/>
      <w:outlineLvl w:val="2"/>
    </w:pPr>
    <w:rPr>
      <w:rFonts w:ascii="PT Astra Sans" w:eastAsiaTheme="majorEastAsia" w:hAnsi="PT Astra Sans" w:cstheme="majorBidi"/>
      <w:b/>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245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22454"/>
  </w:style>
  <w:style w:type="paragraph" w:styleId="a5">
    <w:name w:val="footer"/>
    <w:basedOn w:val="a"/>
    <w:link w:val="a6"/>
    <w:uiPriority w:val="99"/>
    <w:unhideWhenUsed/>
    <w:rsid w:val="0042245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22454"/>
  </w:style>
  <w:style w:type="character" w:customStyle="1" w:styleId="a7">
    <w:name w:val="Основной текст_"/>
    <w:basedOn w:val="a0"/>
    <w:link w:val="11"/>
    <w:rsid w:val="00B139DB"/>
    <w:rPr>
      <w:rFonts w:ascii="Times New Roman" w:eastAsia="Times New Roman" w:hAnsi="Times New Roman" w:cs="Times New Roman"/>
      <w:sz w:val="28"/>
      <w:szCs w:val="28"/>
    </w:rPr>
  </w:style>
  <w:style w:type="character" w:customStyle="1" w:styleId="21">
    <w:name w:val="Заголовок №2_"/>
    <w:basedOn w:val="a0"/>
    <w:link w:val="22"/>
    <w:rsid w:val="00B139DB"/>
    <w:rPr>
      <w:rFonts w:ascii="Times New Roman" w:eastAsia="Times New Roman" w:hAnsi="Times New Roman" w:cs="Times New Roman"/>
      <w:b/>
      <w:bCs/>
      <w:sz w:val="32"/>
      <w:szCs w:val="32"/>
    </w:rPr>
  </w:style>
  <w:style w:type="paragraph" w:customStyle="1" w:styleId="11">
    <w:name w:val="Основной текст1"/>
    <w:basedOn w:val="a"/>
    <w:link w:val="a7"/>
    <w:rsid w:val="00B139DB"/>
    <w:pPr>
      <w:widowControl w:val="0"/>
      <w:spacing w:after="0" w:line="240" w:lineRule="auto"/>
      <w:ind w:firstLine="400"/>
    </w:pPr>
    <w:rPr>
      <w:rFonts w:ascii="Times New Roman" w:eastAsia="Times New Roman" w:hAnsi="Times New Roman" w:cs="Times New Roman"/>
      <w:sz w:val="28"/>
      <w:szCs w:val="28"/>
    </w:rPr>
  </w:style>
  <w:style w:type="paragraph" w:customStyle="1" w:styleId="22">
    <w:name w:val="Заголовок №2"/>
    <w:basedOn w:val="a"/>
    <w:link w:val="21"/>
    <w:rsid w:val="00B139DB"/>
    <w:pPr>
      <w:widowControl w:val="0"/>
      <w:spacing w:before="130" w:after="380" w:line="240" w:lineRule="auto"/>
      <w:jc w:val="center"/>
      <w:outlineLvl w:val="1"/>
    </w:pPr>
    <w:rPr>
      <w:rFonts w:ascii="Times New Roman" w:eastAsia="Times New Roman" w:hAnsi="Times New Roman" w:cs="Times New Roman"/>
      <w:b/>
      <w:bCs/>
      <w:sz w:val="32"/>
      <w:szCs w:val="32"/>
    </w:rPr>
  </w:style>
  <w:style w:type="character" w:customStyle="1" w:styleId="10">
    <w:name w:val="Заголовок 1 Знак"/>
    <w:basedOn w:val="a0"/>
    <w:link w:val="1"/>
    <w:uiPriority w:val="9"/>
    <w:rsid w:val="00B139DB"/>
    <w:rPr>
      <w:rFonts w:ascii="PT Astra Sans" w:eastAsiaTheme="majorEastAsia" w:hAnsi="PT Astra Sans" w:cstheme="majorBidi"/>
      <w:sz w:val="36"/>
      <w:szCs w:val="32"/>
    </w:rPr>
  </w:style>
  <w:style w:type="character" w:customStyle="1" w:styleId="a8">
    <w:name w:val="Другое_"/>
    <w:basedOn w:val="a0"/>
    <w:link w:val="a9"/>
    <w:rsid w:val="00D74E1A"/>
    <w:rPr>
      <w:rFonts w:ascii="Times New Roman" w:eastAsia="Times New Roman" w:hAnsi="Times New Roman" w:cs="Times New Roman"/>
      <w:sz w:val="28"/>
      <w:szCs w:val="28"/>
    </w:rPr>
  </w:style>
  <w:style w:type="paragraph" w:customStyle="1" w:styleId="a9">
    <w:name w:val="Другое"/>
    <w:basedOn w:val="a"/>
    <w:link w:val="a8"/>
    <w:rsid w:val="00D74E1A"/>
    <w:pPr>
      <w:widowControl w:val="0"/>
      <w:spacing w:after="0" w:line="240" w:lineRule="auto"/>
      <w:ind w:firstLine="400"/>
    </w:pPr>
    <w:rPr>
      <w:rFonts w:ascii="Times New Roman" w:eastAsia="Times New Roman" w:hAnsi="Times New Roman" w:cs="Times New Roman"/>
      <w:sz w:val="28"/>
      <w:szCs w:val="28"/>
    </w:rPr>
  </w:style>
  <w:style w:type="character" w:customStyle="1" w:styleId="31">
    <w:name w:val="Заголовок №3_"/>
    <w:basedOn w:val="a0"/>
    <w:link w:val="32"/>
    <w:rsid w:val="00A045B1"/>
    <w:rPr>
      <w:rFonts w:ascii="Times New Roman" w:eastAsia="Times New Roman" w:hAnsi="Times New Roman" w:cs="Times New Roman"/>
      <w:b/>
      <w:bCs/>
      <w:sz w:val="28"/>
      <w:szCs w:val="28"/>
    </w:rPr>
  </w:style>
  <w:style w:type="paragraph" w:customStyle="1" w:styleId="32">
    <w:name w:val="Заголовок №3"/>
    <w:basedOn w:val="a"/>
    <w:link w:val="31"/>
    <w:rsid w:val="00A045B1"/>
    <w:pPr>
      <w:widowControl w:val="0"/>
      <w:spacing w:after="0" w:line="240" w:lineRule="auto"/>
      <w:ind w:firstLine="720"/>
      <w:outlineLvl w:val="2"/>
    </w:pPr>
    <w:rPr>
      <w:rFonts w:ascii="Times New Roman" w:eastAsia="Times New Roman" w:hAnsi="Times New Roman" w:cs="Times New Roman"/>
      <w:b/>
      <w:bCs/>
      <w:sz w:val="28"/>
      <w:szCs w:val="28"/>
    </w:rPr>
  </w:style>
  <w:style w:type="paragraph" w:styleId="aa">
    <w:name w:val="List Paragraph"/>
    <w:basedOn w:val="a"/>
    <w:uiPriority w:val="34"/>
    <w:qFormat/>
    <w:rsid w:val="00A045B1"/>
    <w:pPr>
      <w:ind w:left="720"/>
      <w:contextualSpacing/>
    </w:pPr>
  </w:style>
  <w:style w:type="character" w:customStyle="1" w:styleId="20">
    <w:name w:val="Заголовок 2 Знак"/>
    <w:basedOn w:val="a0"/>
    <w:link w:val="2"/>
    <w:uiPriority w:val="9"/>
    <w:rsid w:val="0086089C"/>
    <w:rPr>
      <w:rFonts w:ascii="PT Astra Sans" w:eastAsiaTheme="majorEastAsia" w:hAnsi="PT Astra Sans" w:cstheme="majorBidi"/>
      <w:b/>
      <w:sz w:val="28"/>
      <w:szCs w:val="26"/>
    </w:rPr>
  </w:style>
  <w:style w:type="character" w:customStyle="1" w:styleId="30">
    <w:name w:val="Заголовок 3 Знак"/>
    <w:basedOn w:val="a0"/>
    <w:link w:val="3"/>
    <w:uiPriority w:val="9"/>
    <w:rsid w:val="009A191B"/>
    <w:rPr>
      <w:rFonts w:ascii="PT Astra Sans" w:eastAsiaTheme="majorEastAsia" w:hAnsi="PT Astra Sans" w:cstheme="majorBidi"/>
      <w:b/>
      <w:sz w:val="28"/>
      <w:szCs w:val="24"/>
    </w:rPr>
  </w:style>
  <w:style w:type="character" w:customStyle="1" w:styleId="23">
    <w:name w:val="Колонтитул (2)_"/>
    <w:basedOn w:val="a0"/>
    <w:link w:val="24"/>
    <w:rsid w:val="009C7C2B"/>
    <w:rPr>
      <w:rFonts w:ascii="Times New Roman" w:eastAsia="Times New Roman" w:hAnsi="Times New Roman" w:cs="Times New Roman"/>
      <w:sz w:val="20"/>
      <w:szCs w:val="20"/>
    </w:rPr>
  </w:style>
  <w:style w:type="paragraph" w:customStyle="1" w:styleId="24">
    <w:name w:val="Колонтитул (2)"/>
    <w:basedOn w:val="a"/>
    <w:link w:val="23"/>
    <w:rsid w:val="009C7C2B"/>
    <w:pPr>
      <w:widowControl w:val="0"/>
      <w:spacing w:after="0" w:line="240" w:lineRule="auto"/>
    </w:pPr>
    <w:rPr>
      <w:rFonts w:ascii="Times New Roman" w:eastAsia="Times New Roman" w:hAnsi="Times New Roman" w:cs="Times New Roman"/>
      <w:sz w:val="20"/>
      <w:szCs w:val="20"/>
    </w:rPr>
  </w:style>
  <w:style w:type="character" w:customStyle="1" w:styleId="ab">
    <w:name w:val="Подпись к таблице_"/>
    <w:basedOn w:val="a0"/>
    <w:link w:val="ac"/>
    <w:rsid w:val="00204CDF"/>
    <w:rPr>
      <w:rFonts w:ascii="Times New Roman" w:eastAsia="Times New Roman" w:hAnsi="Times New Roman" w:cs="Times New Roman"/>
      <w:sz w:val="28"/>
      <w:szCs w:val="28"/>
    </w:rPr>
  </w:style>
  <w:style w:type="paragraph" w:customStyle="1" w:styleId="ac">
    <w:name w:val="Подпись к таблице"/>
    <w:basedOn w:val="a"/>
    <w:link w:val="ab"/>
    <w:rsid w:val="00204CDF"/>
    <w:pPr>
      <w:widowControl w:val="0"/>
      <w:spacing w:after="0" w:line="240" w:lineRule="auto"/>
      <w:ind w:firstLine="360"/>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6818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7A303E-4FAB-434A-BF12-21EE54381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616</TotalTime>
  <Pages>2</Pages>
  <Words>384</Words>
  <Characters>2193</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Цой</dc:creator>
  <cp:keywords/>
  <dc:description/>
  <cp:lastModifiedBy>Алексей Цой</cp:lastModifiedBy>
  <cp:revision>150</cp:revision>
  <dcterms:created xsi:type="dcterms:W3CDTF">2026-08-19T06:51:00Z</dcterms:created>
  <dcterms:modified xsi:type="dcterms:W3CDTF">2026-09-16T03:19:00Z</dcterms:modified>
</cp:coreProperties>
</file>